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44D5D" w14:textId="77777777" w:rsidR="00B409CA" w:rsidRDefault="00000000">
      <w:pPr>
        <w:spacing w:before="1500"/>
        <w:jc w:val="center"/>
      </w:pPr>
      <w:r>
        <w:rPr>
          <w:b/>
          <w:sz w:val="60"/>
        </w:rPr>
        <w:t>DANIEL 1</w:t>
      </w:r>
    </w:p>
    <w:p w14:paraId="7878C94A" w14:textId="77777777" w:rsidR="00B409CA" w:rsidRDefault="00000000">
      <w:pPr>
        <w:jc w:val="center"/>
      </w:pPr>
      <w:r>
        <w:rPr>
          <w:b/>
          <w:sz w:val="40"/>
        </w:rPr>
        <w:t>Faithfulness in the Empire</w:t>
      </w:r>
    </w:p>
    <w:p w14:paraId="4CCF1A49" w14:textId="14A52A47" w:rsidR="00B409CA" w:rsidRDefault="004F1222">
      <w:pPr>
        <w:jc w:val="center"/>
      </w:pPr>
      <w:r>
        <w:rPr>
          <w:i/>
          <w:sz w:val="24"/>
        </w:rPr>
        <w:t xml:space="preserve"> </w:t>
      </w:r>
    </w:p>
    <w:p w14:paraId="40304CD8" w14:textId="77777777" w:rsidR="00B409CA" w:rsidRDefault="00B409CA"/>
    <w:tbl>
      <w:tblPr>
        <w:tblW w:w="0" w:type="auto"/>
        <w:jc w:val="center"/>
        <w:tblLook w:val="04A0" w:firstRow="1" w:lastRow="0" w:firstColumn="1" w:lastColumn="0" w:noHBand="0" w:noVBand="1"/>
      </w:tblPr>
      <w:tblGrid>
        <w:gridCol w:w="9878"/>
      </w:tblGrid>
      <w:tr w:rsidR="00B409CA" w14:paraId="2BAF3602" w14:textId="77777777">
        <w:trPr>
          <w:jc w:val="center"/>
        </w:trPr>
        <w:tc>
          <w:tcPr>
            <w:tcW w:w="9878" w:type="dxa"/>
            <w:shd w:val="clear" w:color="auto" w:fill="EDEDED"/>
            <w:vAlign w:val="center"/>
          </w:tcPr>
          <w:p w14:paraId="1800CAA5" w14:textId="77777777" w:rsidR="00B409CA" w:rsidRDefault="00000000">
            <w:r>
              <w:rPr>
                <w:b/>
                <w:sz w:val="22"/>
              </w:rPr>
              <w:t>Interpretive Method</w:t>
            </w:r>
          </w:p>
          <w:p w14:paraId="716ADD0D" w14:textId="77777777" w:rsidR="00B409CA" w:rsidRDefault="00000000">
            <w:pPr>
              <w:spacing w:after="0"/>
            </w:pPr>
            <w:r>
              <w:t>Respect the words. Understand their world. Establish what the text meant there. Then ask how its truth speaks here.</w:t>
            </w:r>
          </w:p>
        </w:tc>
      </w:tr>
    </w:tbl>
    <w:p w14:paraId="7BB7AEFC" w14:textId="77777777" w:rsidR="00B409CA" w:rsidRDefault="00B409CA">
      <w:pPr>
        <w:spacing w:after="20"/>
      </w:pPr>
    </w:p>
    <w:p w14:paraId="50C0E598" w14:textId="77777777" w:rsidR="00B409CA" w:rsidRDefault="00000000">
      <w:pPr>
        <w:spacing w:before="1000"/>
        <w:jc w:val="center"/>
      </w:pPr>
      <w:r>
        <w:rPr>
          <w:b/>
          <w:sz w:val="26"/>
        </w:rPr>
        <w:t>David V. Lott, Ph.D.</w:t>
      </w:r>
    </w:p>
    <w:p w14:paraId="1334CF5D" w14:textId="77777777" w:rsidR="00B409CA" w:rsidRDefault="00000000">
      <w:pPr>
        <w:jc w:val="center"/>
      </w:pPr>
      <w:r>
        <w:rPr>
          <w:i/>
        </w:rPr>
        <w:t>Expositional Studies in Daniel</w:t>
      </w:r>
    </w:p>
    <w:p w14:paraId="6C03DFC6" w14:textId="77777777" w:rsidR="00B409CA" w:rsidRDefault="00000000">
      <w:r>
        <w:br w:type="page"/>
      </w:r>
    </w:p>
    <w:p w14:paraId="6BACA996" w14:textId="66878E16" w:rsidR="00B409CA" w:rsidRDefault="004F1222">
      <w:pPr>
        <w:pStyle w:val="Heading1"/>
      </w:pPr>
      <w:r>
        <w:lastRenderedPageBreak/>
        <w:t>P</w:t>
      </w:r>
      <w:r w:rsidR="00000000">
        <w:t>urpose and Hermeneutical Framework</w:t>
      </w:r>
    </w:p>
    <w:p w14:paraId="59F2C6AB" w14:textId="77777777" w:rsidR="00B409CA" w:rsidRDefault="00000000">
      <w:r>
        <w:t>Daniel 1 is not merely the story of four young men who declined the king’s provisions. It is the doorway into the theology of the entire book. The chapter introduces the conflict between the visible power of human empire and the invisible sovereignty of God, establishes the problem of faithful identity in exile, and prepares the reader for the question that will recur throughout Daniel: Who truly rules history?</w:t>
      </w:r>
    </w:p>
    <w:p w14:paraId="51BC6C9B" w14:textId="77777777" w:rsidR="00B409CA" w:rsidRDefault="00000000">
      <w:r>
        <w:t>This study proceeds through a three-sided hermeneutical framework. Historical hermeneutics reconstructs the political, cultural, covenantal, and religious world that produced the exile. Literary hermeneutics examines wording, structure, repetition, lexical choices, genre, narrative strategy, and canonical relationships. Theological hermeneutics asks what the text reveals about God, His people, judgment, wisdom, human kingdoms, and faithful life within a culture that does not share the believer’s ultimate allegiance. These three dimensions belong together. Historical reconstruction without literary attention can become background trivia; literary analysis without history can detach the text from its world; theological application without either can make the text say what the interpreter wishes rather than what the author communicated.</w:t>
      </w:r>
    </w:p>
    <w:tbl>
      <w:tblPr>
        <w:tblW w:w="0" w:type="auto"/>
        <w:jc w:val="center"/>
        <w:tblLook w:val="04A0" w:firstRow="1" w:lastRow="0" w:firstColumn="1" w:lastColumn="0" w:noHBand="0" w:noVBand="1"/>
      </w:tblPr>
      <w:tblGrid>
        <w:gridCol w:w="9878"/>
      </w:tblGrid>
      <w:tr w:rsidR="00B409CA" w14:paraId="2450DFFA" w14:textId="77777777">
        <w:trPr>
          <w:jc w:val="center"/>
        </w:trPr>
        <w:tc>
          <w:tcPr>
            <w:tcW w:w="9878" w:type="dxa"/>
            <w:shd w:val="clear" w:color="auto" w:fill="EDEDED"/>
            <w:vAlign w:val="center"/>
          </w:tcPr>
          <w:p w14:paraId="449F5205" w14:textId="77777777" w:rsidR="00B409CA" w:rsidRDefault="00000000">
            <w:r>
              <w:rPr>
                <w:b/>
                <w:sz w:val="22"/>
              </w:rPr>
              <w:t>Central Truth</w:t>
            </w:r>
          </w:p>
          <w:p w14:paraId="2F1A703F" w14:textId="77777777" w:rsidR="00B409CA" w:rsidRDefault="00000000">
            <w:pPr>
              <w:spacing w:after="0"/>
            </w:pPr>
            <w:r>
              <w:t>Babylon appears to possess Judah, its king, its sacred vessels, and its brightest young men, yet Daniel repeatedly reveals that God—not Nebuchadnezzar—is the One who gives, preserves, equips, and governs the outcome.</w:t>
            </w:r>
          </w:p>
        </w:tc>
      </w:tr>
    </w:tbl>
    <w:p w14:paraId="4DAD5169" w14:textId="77777777" w:rsidR="00B409CA" w:rsidRDefault="00B409CA">
      <w:pPr>
        <w:spacing w:after="20"/>
      </w:pPr>
    </w:p>
    <w:p w14:paraId="0D190FF3" w14:textId="77777777" w:rsidR="00B409CA" w:rsidRDefault="00000000">
      <w:pPr>
        <w:pStyle w:val="Heading1"/>
      </w:pPr>
      <w:r>
        <w:t>I. Historical Hermeneutics: How Judah Arrived in Babylon</w:t>
      </w:r>
    </w:p>
    <w:p w14:paraId="158598D9" w14:textId="77777777" w:rsidR="00B409CA" w:rsidRDefault="00000000">
      <w:pPr>
        <w:pStyle w:val="Heading2"/>
      </w:pPr>
      <w:r>
        <w:t>The Exile Began Before the Deportation</w:t>
      </w:r>
    </w:p>
    <w:p w14:paraId="41457FD1" w14:textId="77777777" w:rsidR="00B409CA" w:rsidRDefault="00000000">
      <w:r>
        <w:t>The road to Babylon did not begin when Nebuchadnezzar appeared at Jerusalem. Politically, the crisis emerged from the collapse of Assyria and the contest between Egypt and Babylon for control of the western territories. Theologically, however, the road had been under construction for generations. Daniel’s statement that “the Lord gave” Jehoiakim into Nebuchadnezzar’s hand (Daniel 1:2) assumes the covenant history preserved in Kings, Chronicles, and Jeremiah. Without that history, the verse can sound like an unexplained divine decision. With it, the verse becomes the culmination of prolonged covenant rebellion, repeated prophetic warning, and the covenant sanctions anticipated in the Law (Deuteronomy 28:36–37, 47–52, 63–68; 30:15–20).</w:t>
      </w:r>
    </w:p>
    <w:p w14:paraId="22455D9A" w14:textId="77777777" w:rsidR="00B409CA" w:rsidRDefault="00000000">
      <w:pPr>
        <w:pStyle w:val="Heading2"/>
      </w:pPr>
      <w:r>
        <w:t>Manasseh and the Deepening of Judah’s Rebellion</w:t>
      </w:r>
    </w:p>
    <w:p w14:paraId="5A24AD44" w14:textId="77777777" w:rsidR="00B409CA" w:rsidRDefault="00000000">
      <w:r>
        <w:t>The reign of Manasseh represents one of the darkest stages in Judah’s decline. Second Kings portrays him as reversing the reforms of his father Hezekiah. He rebuilt the high places, erected altars for Baal, made an Asherah, worshiped the host of heaven, practiced divination and occult arts, and placed pagan altars within the precincts of the Temple (2 Kings 21:2–7). Chronicles adds that he practiced witchcraft and sorcery and led Judah and Jerusalem astray (2 Chronicles 33:2–9). The narrator’s verdict is deliberately severe: Manasseh caused Judah to do more evil than the nations whom the LORD had destroyed before Israel (2 Kings 21:9).</w:t>
      </w:r>
    </w:p>
    <w:p w14:paraId="4C17FF1E" w14:textId="77777777" w:rsidR="00B409CA" w:rsidRDefault="00000000">
      <w:r>
        <w:t>This creates a sobering covenant symmetry. The land had never been Israel’s unconditional possession. God had warned that persistent covenant rebellion could result in defeat, removal from the land, and scattering among the nations (Deuteronomy 28:36–37, 49–52, 63–68). If Judah embraced the very practices for which the earlier inhabitants had been judged, Judah could not presume that possession of Jerusalem or the Temple would make her immune from judgment.</w:t>
      </w:r>
    </w:p>
    <w:p w14:paraId="4FA2ED93" w14:textId="77777777" w:rsidR="00B409CA" w:rsidRDefault="00000000">
      <w:r>
        <w:lastRenderedPageBreak/>
        <w:t>The king’s role is important. Kings repeatedly evaluates an era through the character of its ruler because the king functioned representatively and institutionally. A king could sponsor worship, appoint officials, establish policy, suppress or promote idolatry, and model the nation’s public allegiance. Individual Israelites retained moral responsibility, but leadership helped shape the religious identity of the people. The text explicitly says that “Manasseh seduced them to do evil” (2 Kings 21:9). Under Manasseh, rebellion was not merely private sin; it became culturally and institutionally embedded.</w:t>
      </w:r>
    </w:p>
    <w:p w14:paraId="38810BC6" w14:textId="77777777" w:rsidR="00B409CA" w:rsidRDefault="00000000">
      <w:r>
        <w:t>Manasseh himself later humbled himself according to Chronicles, and he attempted reforms after his restoration (2 Chronicles 33:10–17). Yet the national consequences of the long corruption were not simply erased. His son Amon returned to evil and idolatry rather than continuing his father’s late repentance (2 Kings 21:19–22; 2 Chronicles 33:21–23). By the time Josiah came to the throne, Judah needed more than cosmetic reform; it needed a recovery of covenant identity.</w:t>
      </w:r>
    </w:p>
    <w:p w14:paraId="49AD8FEF" w14:textId="77777777" w:rsidR="00B409CA" w:rsidRDefault="00000000">
      <w:pPr>
        <w:pStyle w:val="Heading2"/>
      </w:pPr>
      <w:r>
        <w:t>Josiah: Recovery of the Book and Recovery of Identity</w:t>
      </w:r>
    </w:p>
    <w:p w14:paraId="227797F9" w14:textId="77777777" w:rsidR="00B409CA" w:rsidRDefault="00000000">
      <w:r>
        <w:t>Josiah became king as a child and eventually initiated repairs to the Temple (2 Kings 22:1–7; 2 Chronicles 34:1–13). During that work, Hilkiah the high priest discovered “the book of the law” in the house of the LORD (2 Kings 22:8; 2 Chronicles 34:14–15). The narrative is almost shocking in its implications: the covenant document by which Judah understood its relationship with God had become so neglected that its recovery produced astonishment.</w:t>
      </w:r>
    </w:p>
    <w:p w14:paraId="610DDE42" w14:textId="77777777" w:rsidR="00B409CA" w:rsidRDefault="00000000">
      <w:r>
        <w:t>When Shaphan read the book before Josiah, the king tore his clothes (2 Kings 22:10–11). Josiah immediately recognized the covenant significance of what he had heard: “Great is the wrath of the LORD that burns against us, because our fathers have not listened to the words of this book” (2 Kings 22:13). The crisis was therefore not merely geopolitical weakness. Judah stood exposed before the stipulations and warnings of the covenant.</w:t>
      </w:r>
    </w:p>
    <w:p w14:paraId="6C1469A8" w14:textId="77777777" w:rsidR="00B409CA" w:rsidRDefault="00000000">
      <w:r>
        <w:t>Josiah responded with extensive reform. He gathered the people, read the covenant publicly, renewed the covenant before the LORD, removed idolatrous objects from the Temple, suppressed illicit worship, desecrated Topheth, destroyed the altar at Bethel, and restored Passover observance (2 Kings 23:1–24; 2 Chronicles 34:29–33; 35:1–19). Second Kings gives him extraordinary praise, saying that no king before him turned to the LORD with such heart, soul, and might according to the Law of Moses (2 Kings 23:25).</w:t>
      </w:r>
    </w:p>
    <w:p w14:paraId="66265082" w14:textId="77777777" w:rsidR="00B409CA" w:rsidRDefault="00000000">
      <w:r>
        <w:t>Yet the same narrative immediately states that the LORD did not turn from the fierceness of His anger because of the provocations associated with Manasseh and that Jerusalem would be removed from His sight (2 Kings 23:26–27). Josiah’s personal faithfulness and public reforms were genuine, but the nation’s long rebellion had consequences that one generation of reform did not simply erase.</w:t>
      </w:r>
    </w:p>
    <w:p w14:paraId="66EB7C71" w14:textId="77777777" w:rsidR="00B409CA" w:rsidRDefault="00000000">
      <w:pPr>
        <w:pStyle w:val="Heading2"/>
      </w:pPr>
      <w:r>
        <w:t>Jeremiah: Reform without Universal Transformation</w:t>
      </w:r>
    </w:p>
    <w:p w14:paraId="7311E67F" w14:textId="77777777" w:rsidR="00B409CA" w:rsidRDefault="00000000">
      <w:r>
        <w:t>Jeremiah began his prophetic ministry in the thirteenth year of Josiah (Jeremiah 1:1–3), so his ministry spans the final decades leading into the Babylonian catastrophe. His preaching shows that external reform had not produced universal inward transformation. Judah could possess the Temple, maintain sacrifices, and speak the language of covenant privilege while continuing in injustice and idolatry.</w:t>
      </w:r>
    </w:p>
    <w:p w14:paraId="10C4821D" w14:textId="77777777" w:rsidR="00B409CA" w:rsidRDefault="00000000">
      <w:r>
        <w:t>Jeremiah’s Temple sermon directly attacks the assumption that the sanctuary itself guaranteed Jerusalem’s safety. The people were warned not to trust the deceptive slogan, “the temple of the LORD, the temple of the LORD, the temple of the LORD” (Jeremiah 7:1–8). Jeremiah points them back to Shiloh as evidence that a sacred place could come under judgment when covenant faithfulness was abandoned (Jeremiah 7:12–15). The theological lesson is essential for Daniel 1: the presence of God’s Temple did not obligate God to protect a rebellious nation.</w:t>
      </w:r>
    </w:p>
    <w:p w14:paraId="5DC03C45" w14:textId="77777777" w:rsidR="00B409CA" w:rsidRDefault="00000000">
      <w:pPr>
        <w:pStyle w:val="Heading2"/>
      </w:pPr>
      <w:r>
        <w:lastRenderedPageBreak/>
        <w:t>Josiah’s Death and Egypt’s Control of Judah</w:t>
      </w:r>
    </w:p>
    <w:p w14:paraId="32D50393" w14:textId="77777777" w:rsidR="00B409CA" w:rsidRDefault="00000000">
      <w:r>
        <w:t>In 609 BC Pharaoh Necho II moved north toward the Euphrates during the struggle created by Assyria’s collapse. Josiah went out to meet him and was killed at Megiddo (2 Kings 23:29–30; 2 Chronicles 35:20–24). His death created both political and spiritual instability. The people placed Josiah’s son Jehoahaz on the throne, but his reign lasted only three months (2 Kings 23:30–31).</w:t>
      </w:r>
    </w:p>
    <w:p w14:paraId="30F6F672" w14:textId="77777777" w:rsidR="00B409CA" w:rsidRDefault="00000000">
      <w:r>
        <w:t>Pharaoh Necho deposed Jehoahaz, carried him away, imposed tribute on Judah, and installed Josiah’s son Eliakim as king. Necho then changed Eliakim’s name to Jehoiakim (2 Kings 23:33–35; 2 Chronicles 36:1–4). The act of renaming was politically meaningful: Judah still possessed a Davidic king, but a foreign ruler now demonstrated the power to determine who occupied the throne and under what identity he would rule.</w:t>
      </w:r>
    </w:p>
    <w:p w14:paraId="0D59374D" w14:textId="77777777" w:rsidR="00B409CA" w:rsidRDefault="00000000">
      <w:r>
        <w:t>This anticipates Daniel 1. Nebuchadnezzar will later assign new names to Daniel and his companions (Daniel 1:6–7). In both settings, foreign rulers exercise authority through naming. Before Babylon attempts to absorb Judah’s young elites, Egypt has already demonstrated how far Judah’s political independence has deteriorated.</w:t>
      </w:r>
    </w:p>
    <w:p w14:paraId="32AB4E2E" w14:textId="77777777" w:rsidR="00B409CA" w:rsidRDefault="00000000">
      <w:pPr>
        <w:pStyle w:val="Heading2"/>
      </w:pPr>
      <w:r>
        <w:t>Jehoiakim: The Anti-Josiah</w:t>
      </w:r>
    </w:p>
    <w:p w14:paraId="70E2FFF1" w14:textId="77777777" w:rsidR="00B409CA" w:rsidRDefault="00000000">
      <w:r>
        <w:t>Jehoiakim stands in striking contrast to his father. Jeremiah 36 records that Jeremiah dictated the prophetic message to Baruch, and the scroll eventually reached the king (Jeremiah 36:1–21). As the words were read, Jehoiakim cut the scroll with a scribe’s knife and threw the pieces into the fire until the entire scroll had been consumed (Jeremiah 36:22–23). The officials did not tear their garments, and the king refused to fear the prophetic warning (Jeremiah 36:24–25).</w:t>
      </w:r>
    </w:p>
    <w:p w14:paraId="4F81BA75" w14:textId="77777777" w:rsidR="00B409CA" w:rsidRDefault="00000000">
      <w:r>
        <w:t>The contrast is powerful. Josiah heard the recovered Law and tore his clothes in submission to the Word (2 Kings 22:11). Jehoiakim heard the prophetic Word and tore the Word itself (Jeremiah 36:23). These scenes are not merely memorable anecdotes about two personalities. They portray radically different models of leadership and help explain the renewed trajectory of Judah as the Babylonian crisis approaches.</w:t>
      </w:r>
    </w:p>
    <w:p w14:paraId="3EDB08B9" w14:textId="77777777" w:rsidR="00B409CA" w:rsidRDefault="00000000">
      <w:r>
        <w:t>Jeremiah also condemns Jehoiakim for injustice, exploitation, violence, and self-serving royal ambition, contrasting him unfavorably with Josiah’s practice of justice and righteousness (Jeremiah 22:13–19). The king’s rejection of the Word therefore corresponded with a broader rejection of covenant ethics.</w:t>
      </w:r>
    </w:p>
    <w:p w14:paraId="73EA8276" w14:textId="77777777" w:rsidR="00B409CA" w:rsidRDefault="00000000">
      <w:pPr>
        <w:pStyle w:val="Heading2"/>
      </w:pPr>
      <w:r>
        <w:t>The International Crisis: Assyria, Egypt, and Babylon</w:t>
      </w:r>
    </w:p>
    <w:p w14:paraId="069BE03B" w14:textId="77777777" w:rsidR="00B409CA" w:rsidRDefault="00000000">
      <w:r>
        <w:t>Meanwhile, the old Near Eastern political order was collapsing. Nineveh fell in 612 BC, bringing the Assyrian Empire near its end. The surviving Assyrian leadership attempted to continue from Harran with Egyptian support. The biblical notice that Necho was moving toward the Euphrates when Josiah confronted him fits this wider contest (2 Kings 23:29). The Babylonian Fall of Nineveh Chronicle likewise places Egypt within the final Assyrian-Babylonian struggle.</w:t>
      </w:r>
    </w:p>
    <w:p w14:paraId="24F5F88C" w14:textId="77777777" w:rsidR="00B409CA" w:rsidRDefault="00000000">
      <w:r>
        <w:t>The decisive shift came in 605 BC at Carchemish on the Euphrates. Jeremiah later dates a prophecy against Egypt to the fourth year of Jehoiakim and explicitly identifies the Egyptian defeat at Carchemish by Nebuchadnezzar (Jeremiah 46:2). The Babylonian Chronicle ABC 5 independently records that Nebuchadnezzar, then crown prince, marched to Carchemish, defeated the Egyptian army, pursued its survivors into the district of Hamath, and established Babylonian dominance in the western territories. It also records the death of Nabopolassar and Nebuchadnezzar’s return to Babylon to take the throne later in 605 BC.</w:t>
      </w:r>
    </w:p>
    <w:p w14:paraId="0B4CE6C8" w14:textId="77777777" w:rsidR="00B409CA" w:rsidRDefault="00000000">
      <w:r>
        <w:t>Judah therefore moved from Egyptian domination into the orbit of Babylon. Second Kings later summarizes the geopolitical result by noting that the king of Egypt no longer came out from his land because the king of Babylon had taken the territory formerly controlled by Egypt from the brook of Egypt to the Euphrates (2 Kings 24:7).</w:t>
      </w:r>
    </w:p>
    <w:p w14:paraId="203E4AEB" w14:textId="77777777" w:rsidR="00B409CA" w:rsidRDefault="00000000">
      <w:pPr>
        <w:pStyle w:val="Heading2"/>
      </w:pPr>
      <w:r>
        <w:lastRenderedPageBreak/>
        <w:t>Jeremiah Interprets the Politics Theologically</w:t>
      </w:r>
    </w:p>
    <w:p w14:paraId="10CCDF0F" w14:textId="77777777" w:rsidR="00B409CA" w:rsidRDefault="00000000">
      <w:r>
        <w:t>Political history explains how Babylon gained the ability to dominate Judah, but Jeremiah explains why Judah’s fall must not be interpreted merely as the victory of a stronger army. In the fourth year of Jehoiakim—the same historical horizon as Carchemish—Jeremiah announces that Judah had repeatedly refused the prophetic word and that God would summon Nebuchadnezzar against the land (Jeremiah 25:1–9). Remarkably, God calls the Babylonian king “My servant” (Jeremiah 25:9).</w:t>
      </w:r>
    </w:p>
    <w:p w14:paraId="1E95F314" w14:textId="77777777" w:rsidR="00B409CA" w:rsidRDefault="00000000">
      <w:r>
        <w:t>Jeremiah repeats the same theological interpretation in the yoke prophecy: God declares that He has made the earth and gives it to whomever He chooses, and then says that He has given the lands into the hand of Nebuchadnezzar, “My servant” (Jeremiah 27:5–8). The title does not identify Nebuchadnezzar as a covenant worshiper. It identifies him as an instrument who, knowingly or unknowingly, serves the judicial purpose of Israel’s God.</w:t>
      </w:r>
    </w:p>
    <w:p w14:paraId="799B1BAE" w14:textId="77777777" w:rsidR="00B409CA" w:rsidRDefault="00000000">
      <w:r>
        <w:t>Jeremiah consequently counsels submission to Babylon rather than confidence that Jerusalem’s political order must be preserved. Zedekiah is told to bring his neck under the yoke of the king of Babylon and live (Jeremiah 27:12–15). Later, the exiles are instructed to build houses, plant gardens, form families, and seek the welfare of the city where God has sent them (Jeremiah 29:4–7). This is important for Daniel: service within Babylon need not equal spiritual surrender to Babylon.</w:t>
      </w:r>
    </w:p>
    <w:p w14:paraId="4E81E51C" w14:textId="77777777" w:rsidR="00B409CA" w:rsidRDefault="00000000">
      <w:r>
        <w:t>Daniel 1:2 therefore does not invent a theological explanation after the fact. When Daniel says that “the Lord gave Jehoiakim king of Judah into his hand,” he speaks within a prophetic interpretation already articulated by Jeremiah: Babylon’s ascendancy is real, but it operates under the sovereignty and judgment of Yahweh.</w:t>
      </w:r>
    </w:p>
    <w:p w14:paraId="683F4999" w14:textId="77777777" w:rsidR="00B409CA" w:rsidRDefault="00000000">
      <w:pPr>
        <w:pStyle w:val="Heading2"/>
      </w:pPr>
      <w:r>
        <w:t>Isaiah Had Already Foreseen a Babylonian Horizon</w:t>
      </w:r>
    </w:p>
    <w:p w14:paraId="5EF75809" w14:textId="77777777" w:rsidR="00B409CA" w:rsidRDefault="00000000">
      <w:r>
        <w:t>The canonical background reaches even further back. After Hezekiah displayed his treasures to Babylonian envoys, Isaiah announced that a day would come when the palace treasures would be carried to Babylon and that some of Hezekiah’s descendants would be taken away to serve in the palace of the Babylonian king (2 Kings 20:12–18; Isaiah 39:1–7). Daniel 1:3–6, with royal and noble Judean youths brought into the king’s service, naturally recalls that earlier prophetic horizon. The connection does not require us to identify every youth as a literal son of Hezekiah; it shows that the Babylonian removal of royal descendants and palace service had already been placed within Judah’s prophetic expectation.</w:t>
      </w:r>
    </w:p>
    <w:p w14:paraId="51F928DC" w14:textId="77777777" w:rsidR="00B409CA" w:rsidRDefault="00000000">
      <w:pPr>
        <w:pStyle w:val="Heading2"/>
      </w:pPr>
      <w:r>
        <w:t>Nebuchadnezzar and the Babylon Daniel Entered</w:t>
      </w:r>
    </w:p>
    <w:p w14:paraId="5EA166B9" w14:textId="77777777" w:rsidR="00B409CA" w:rsidRDefault="00000000">
      <w:r>
        <w:t>Nebuchadnezzar II ruled Babylon from 605 to 562 BC and became the dominant monarch of the Neo-Babylonian Empire. His historical existence and royal activity are abundantly attested by cuneiform chronicles, building inscriptions, bricks, cylinders, and administrative records. These sources describe military campaigns, monumental construction, temple restoration, and the bureaucratic life of the empire.</w:t>
      </w:r>
    </w:p>
    <w:p w14:paraId="70EEA923" w14:textId="77777777" w:rsidR="00B409CA" w:rsidRDefault="00000000">
      <w:r>
        <w:t>The Babylonian Chronicle ABC 5 is particularly important. In addition to the 605 BC Carchemish campaign, it records Nebuchadnezzar’s later siege of Jerusalem in his seventh regnal year and the capture of its king in 597 BC. This later event corresponds closely with the biblical account of Jehoiachin’s surrender and deportation (2 Kings 24:8–17). The chronicle then says Nebuchadnezzar appointed a king of his own choice, paralleling the installation of Mattaniah/Zedekiah (2 Kings 24:17).</w:t>
      </w:r>
    </w:p>
    <w:p w14:paraId="0EDB8D11" w14:textId="77777777" w:rsidR="00B409CA" w:rsidRDefault="00000000">
      <w:r>
        <w:t>The extrabiblical evidence must be used with precision. The extant Babylonian Chronicle explicitly records the 597 BC capture of Jerusalem, but it does not explicitly describe the particular 605 BC removal of Daniel and his companions. Daniel 1 itself is the source for that event. The chronicle nevertheless confirms the larger historical setting: Nebuchadnezzar’s 605 BC western campaign, his accession, Babylonian domination of the region, and the empire’s later documented intervention in Jerusalem.</w:t>
      </w:r>
    </w:p>
    <w:p w14:paraId="17BF87A4" w14:textId="77777777" w:rsidR="00B409CA" w:rsidRDefault="00000000">
      <w:r>
        <w:t xml:space="preserve">Babylon was not a primitive place of captivity but an imperial capital with monumental architecture, temples, fortifications, a sophisticated scribal culture, and an administrative system capable of incorporating talented </w:t>
      </w:r>
      <w:r>
        <w:lastRenderedPageBreak/>
        <w:t>foreigners into royal service. The historical setting makes Daniel’s situation more vivid: he is not merely surviving captivity; he is being deliberately prepared for participation in one of the ancient world’s most powerful intellectual and political systems.</w:t>
      </w:r>
    </w:p>
    <w:p w14:paraId="29C3567A" w14:textId="77777777" w:rsidR="00B409CA" w:rsidRDefault="00000000">
      <w:pPr>
        <w:pStyle w:val="Heading1"/>
      </w:pPr>
      <w:r>
        <w:t>II. Literary and Linguistic Hermeneutics: Reading Daniel 1 Closely</w:t>
      </w:r>
    </w:p>
    <w:p w14:paraId="45D94D21" w14:textId="77777777" w:rsidR="00B409CA" w:rsidRDefault="00000000">
      <w:pPr>
        <w:pStyle w:val="Heading2"/>
      </w:pPr>
      <w:r>
        <w:t>Daniel 1:1–2 — The Visible Conqueror and the Invisible Giver</w:t>
      </w:r>
    </w:p>
    <w:p w14:paraId="3C70B76A" w14:textId="77777777" w:rsidR="00B409CA" w:rsidRDefault="00000000">
      <w:r>
        <w:t>Daniel opens with Jehoiakim and Nebuchadnezzar, two kings whose political fortunes appear to explain the event. Nebuchadnezzar comes to Jerusalem and besieges it (Daniel 1:1). Yet verse 2 immediately corrects any merely political reading: “the Lord gave” Jehoiakim into his hand (Daniel 1:2). The crucial Hebrew verb is נָתַן (nātan), a common verb meaning to give, place, grant, deliver, or hand over. Its theological force here arises not from rarity but from agency. Nebuchadnezzar is not the ultimate subject controlling the event; the Lord is.</w:t>
      </w:r>
    </w:p>
    <w:p w14:paraId="4B3941D6" w14:textId="77777777" w:rsidR="00B409CA" w:rsidRDefault="00000000">
      <w:r>
        <w:t>This verb becomes a structural marker in the chapter. In verse 2 the Lord gives Jehoiakim into Nebuchadnezzar’s hand. In verse 9 God gives Daniel favor and compassion before the official. In verse 17 God gives the four youths knowledge and intelligence. The chapter therefore presents three divine givings: God gives judgment, God gives favor, and God gives wisdom. Human rulers issue commands, but God governs outcomes.</w:t>
      </w:r>
    </w:p>
    <w:p w14:paraId="6E9F90E5" w14:textId="77777777" w:rsidR="00B409CA" w:rsidRDefault="00000000">
      <w:pPr>
        <w:pStyle w:val="Heading3"/>
      </w:pPr>
      <w:r>
        <w:t>The Third Year of Jehoiakim</w:t>
      </w:r>
    </w:p>
    <w:p w14:paraId="7A869F71" w14:textId="77777777" w:rsidR="00B409CA" w:rsidRDefault="00000000">
      <w:r>
        <w:t>Daniel 1:1 dates the event to Jehoiakim’s third year, while Jeremiah 25:1 and 46:2 speak of Jehoiakim’s fourth year in connection with Nebuchadnezzar’s first year and the battle of Carchemish. The difference is commonly discussed in relation to differing ancient regnal reckoning systems, including accession-year and non-accession-year counting. The chronological issue should be acknowledged rather than concealed. What is historically secure is that 605 BC marks the decisive Babylonian victory over Egypt at Carchemish and Nebuchadnezzar’s accession, placing Daniel’s opening within the correct geopolitical transition.</w:t>
      </w:r>
    </w:p>
    <w:p w14:paraId="199FB4CE" w14:textId="77777777" w:rsidR="00B409CA" w:rsidRDefault="00000000">
      <w:pPr>
        <w:pStyle w:val="Heading3"/>
      </w:pPr>
      <w:r>
        <w:t>Temple Vessels and the Ancient Meaning of Victory</w:t>
      </w:r>
    </w:p>
    <w:p w14:paraId="1EE7F4F7" w14:textId="77777777" w:rsidR="00B409CA" w:rsidRDefault="00000000">
      <w:r>
        <w:t>Nebuchadnezzar carries some of the vessels from the house of God into the treasury of his god (Daniel 1:2). In the ancient Near East, military victory could be interpreted religiously as evidence of the victor’s divine superiority. Daniel’s wording resists that conclusion before the reader can draw it. The vessels reach Babylon not because Babylon’s deity has defeated Yahweh, but because the Lord has given Judah into Nebuchadnezzar’s hand. The theological interpretation precedes the apparent theological scandal.</w:t>
      </w:r>
    </w:p>
    <w:p w14:paraId="43AD6F10" w14:textId="77777777" w:rsidR="00B409CA" w:rsidRDefault="00000000">
      <w:pPr>
        <w:pStyle w:val="Heading3"/>
      </w:pPr>
      <w:r>
        <w:t>Shinar: Geography with Canonical Memory</w:t>
      </w:r>
    </w:p>
    <w:p w14:paraId="6F8A8FA7" w14:textId="77777777" w:rsidR="00B409CA" w:rsidRDefault="00000000">
      <w:r>
        <w:t>Daniel says the vessels were carried to “the land of Shinar” (Daniel 1:2). The Hebrew שִׁנְעָר (šinʿār) is more than a neutral geographical label in the biblical canon. Genesis associates Shinar with the tower and city of Babel, where humanity seeks to build a name and resist the divine ordering of the nations (Genesis 11:1–9). By using this older designation, Daniel places the reader within a canonical landscape already associated with proud human civilization. Later Scripture will develop Babylon as both a historical empire and a theological symbol of human power organized as though it were ultimate (cf. Revelation 17–18).</w:t>
      </w:r>
    </w:p>
    <w:p w14:paraId="31B5E784" w14:textId="77777777" w:rsidR="00B409CA" w:rsidRDefault="00000000">
      <w:pPr>
        <w:pStyle w:val="Heading2"/>
      </w:pPr>
      <w:r>
        <w:t>Daniel 1:3–7 — The Imperial Re-Formation of Identity</w:t>
      </w:r>
    </w:p>
    <w:p w14:paraId="2A7F7185" w14:textId="77777777" w:rsidR="00B409CA" w:rsidRDefault="00000000">
      <w:r>
        <w:t>Nebuchadnezzar orders Ashpenaz to select young men from the royal family and nobility who possess physical, intellectual, and social qualifications suitable for palace service (Daniel 1:3–4). The policy is shrewd. Conquest need not merely destroy the leadership potential of a subject people; it can appropriate that potential. Promising members of the conquered elite can be relocated, educated, renamed, supported by the royal establishment, and incorporated into the bureaucracy of the empire.</w:t>
      </w:r>
    </w:p>
    <w:p w14:paraId="7632C87D" w14:textId="77777777" w:rsidR="00B409CA" w:rsidRDefault="00000000">
      <w:r>
        <w:lastRenderedPageBreak/>
        <w:t>The phrase translated “literature and language of the Chaldeans” (Daniel 1:4) deserves attention. סֵפֶר (sēper) can refer to writing, a document, book, or written learning, while לָשׁוֹן (lāšôn) literally means tongue and by extension language. Babylonian scribal culture included Akkadian cuneiform, lexical lists, mathematics, legal and administrative texts, omen literature, astronomical observation, royal records, and religious traditions. Daniel and his companions were not merely learning conversational vocabulary. They were being educated within an intellectual system designed to prepare them for service to Babylon.</w:t>
      </w:r>
    </w:p>
    <w:p w14:paraId="15426710" w14:textId="77777777" w:rsidR="00B409CA" w:rsidRDefault="00000000">
      <w:r>
        <w:t>Yet Daniel does not reject education itself. He learns within Babylon without granting Babylon final authority over truth or identity. The conflict in the chapter is therefore not between learning and faithfulness, nor between all culture and holiness. The issue is whether participation becomes assimilation at the point where loyalty to God is compromised.</w:t>
      </w:r>
    </w:p>
    <w:p w14:paraId="2F7889D6" w14:textId="77777777" w:rsidR="00B409CA" w:rsidRDefault="00000000">
      <w:pPr>
        <w:pStyle w:val="Heading3"/>
      </w:pPr>
      <w:r>
        <w:t>The Names: Who Has the Right to Define You?</w:t>
      </w:r>
    </w:p>
    <w:p w14:paraId="3E4C92FC" w14:textId="77777777" w:rsidR="00B409CA" w:rsidRDefault="00000000">
      <w:r>
        <w:t>The four Judeans bear names tied to the God of Israel: Daniel, Hananiah, Mishael, and Azariah. Babylon assigns them new names: Belteshazzar, Shadrach, Meshach, and Abed-nego (Daniel 1:6–7). The exact etymology of every Babylonian form is debated, and responsible exposition should not claim greater certainty than the evidence permits. The narrative point, however, is clear enough. A new imperial environment seeks to place these men within a new religious and administrative identity.</w:t>
      </w:r>
    </w:p>
    <w:p w14:paraId="1AAFA8E3" w14:textId="77777777" w:rsidR="00B409CA" w:rsidRDefault="00000000">
      <w:r>
        <w:t>The renaming continues the historical thread already visible when Pharaoh Necho renamed Eliakim as Jehoiakim (2 Kings 23:34). Foreign rulers exercise the power to assign public identities. Daniel 1 therefore raises a deeper question than whether the young men will answer to Babylonian names: can the empire’s designation become the final definition of who they are? The rest of the chapter answers no.</w:t>
      </w:r>
    </w:p>
    <w:p w14:paraId="5FEED00C" w14:textId="77777777" w:rsidR="00B409CA" w:rsidRDefault="00000000">
      <w:pPr>
        <w:pStyle w:val="Heading2"/>
      </w:pPr>
      <w:r>
        <w:t>Daniel 1:8 — Daniel Places It upon His Heart</w:t>
      </w:r>
    </w:p>
    <w:p w14:paraId="67B0566A" w14:textId="77777777" w:rsidR="00B409CA" w:rsidRDefault="00000000">
      <w:r>
        <w:t>Verse 8 is the narrative turning point. Daniel “made up his mind” not to defile himself. The Hebrew expression וַיָּשֶׂם ... עַל־לִבּוֹ (wayyāśem ... ʿal-libbô) is built around placing something “upon his heart.” In Hebrew anthropology the לֵב (lēb, heart) is not merely the seat of emotion. It can encompass thought, intention, judgment, will, and moral resolve. Daniel’s resistance therefore begins internally before it becomes externally visible. Babylon can regulate his surroundings, but Daniel determines before God the boundary he will not cross.</w:t>
      </w:r>
    </w:p>
    <w:p w14:paraId="72F01C96" w14:textId="77777777" w:rsidR="00B409CA" w:rsidRDefault="00000000">
      <w:pPr>
        <w:pStyle w:val="Heading3"/>
      </w:pPr>
      <w:r>
        <w:t>What Would Have Defiled Daniel?</w:t>
      </w:r>
    </w:p>
    <w:p w14:paraId="00859EE8" w14:textId="77777777" w:rsidR="00B409CA" w:rsidRDefault="00000000">
      <w:r>
        <w:t>The verb גָּאַל (gāʾal) in this context conveys defilement or pollution (Daniel 1:8). The precise reason the royal provisions would defile Daniel is not explicitly stated, and several explanations deserve consideration. Some foods may have violated Israel’s dietary requirements (Leviticus 11; Deuteronomy 14:3–21); meat or wine may have been associated with offerings to Babylonian deities; preparation could have created ritual problems; or participation in the royal ration system may have carried implications of dependence and identification. More than one factor may have operated simultaneously.</w:t>
      </w:r>
    </w:p>
    <w:p w14:paraId="212DD9DD" w14:textId="77777777" w:rsidR="00B409CA" w:rsidRDefault="00000000">
      <w:r>
        <w:t>The exegetically important point is that Daniel distinguishes between forms of cultural participation. He accepts Babylonian education, functions under an assigned Babylonian name, and prepares to serve within a pagan government, but he identifies the royal provisions as a boundary he cannot cross. His response is therefore neither total cultural withdrawal nor indiscriminate accommodation. It is discerning faithfulness.</w:t>
      </w:r>
    </w:p>
    <w:p w14:paraId="770BB3DF" w14:textId="77777777" w:rsidR="00B409CA" w:rsidRDefault="00000000">
      <w:pPr>
        <w:pStyle w:val="Heading2"/>
      </w:pPr>
      <w:r>
        <w:t>Daniel 1:9–16 — Faithful Resistance without Manufactured Hostility</w:t>
      </w:r>
    </w:p>
    <w:p w14:paraId="17006D62" w14:textId="77777777" w:rsidR="00B409CA" w:rsidRDefault="00000000">
      <w:r>
        <w:t>Daniel does not respond with theatrical defiance. He requests permission and proposes a test that takes the official’s legitimate concern seriously (Daniel 1:8–14). The official fears that the king will hold him responsible if the youths appear unhealthy (Daniel 1:10). Daniel’s faithfulness therefore does not require him to treat the official as an enemy. He seeks a solution that preserves obedience to God while minimizing unnecessary danger to another person.</w:t>
      </w:r>
    </w:p>
    <w:p w14:paraId="0671121C" w14:textId="77777777" w:rsidR="00B409CA" w:rsidRDefault="00000000">
      <w:r>
        <w:lastRenderedPageBreak/>
        <w:t>Verse 9 again uses the chapter’s controlling theology: God gives Daniel favor and compassion before the chief official (Daniel 1:9). The narrative does not portray Daniel’s diplomacy as self-generated brilliance alone. His wise conduct operates within providential favor. Divine sovereignty and responsible human action are not competitors in the story; Daniel acts wisely, and God works through the relationships in which Daniel acts.</w:t>
      </w:r>
    </w:p>
    <w:p w14:paraId="3AD076EB" w14:textId="77777777" w:rsidR="00B409CA" w:rsidRDefault="00000000">
      <w:pPr>
        <w:pStyle w:val="Heading3"/>
      </w:pPr>
      <w:r>
        <w:t>Seed-Food and the Ten-Day Test</w:t>
      </w:r>
    </w:p>
    <w:p w14:paraId="6A6ED86E" w14:textId="77777777" w:rsidR="00B409CA" w:rsidRDefault="00000000">
      <w:r>
        <w:t>The food requested in verse 12 is described with זֵרֹעִים (zērōʿîm), a plural term related to seed or that which is sown. English “vegetables” can sound narrower than the Hebrew. The category can reasonably suggest foods produced from seed, potentially including grains, legumes, and plant foods rather than a modern plate of leafy vegetables. The passage should therefore not be converted into a universal nutritional program. The narrative concern is covenant faithfulness and divine provision, not a prescribed Christian diet.</w:t>
      </w:r>
    </w:p>
    <w:p w14:paraId="3971E39B" w14:textId="77777777" w:rsidR="00B409CA" w:rsidRDefault="00000000">
      <w:r>
        <w:t>The ten-day test is also narratively significant (Daniel 1:12–16). Daniel does not demand that the official accept an unverifiable claim. He proposes a bounded period after which the results can be observed. His conduct combines conviction with prudence. That pattern will recur throughout Daniel: faithfulness is firm, but it is not needlessly provocative.</w:t>
      </w:r>
    </w:p>
    <w:p w14:paraId="61357D82" w14:textId="77777777" w:rsidR="00B409CA" w:rsidRDefault="00000000">
      <w:pPr>
        <w:pStyle w:val="Heading2"/>
      </w:pPr>
      <w:r>
        <w:t>Daniel 1:17–20 — Babylon Teaches; God Gives Wisdom</w:t>
      </w:r>
    </w:p>
    <w:p w14:paraId="5C1CDA03" w14:textId="77777777" w:rsidR="00B409CA" w:rsidRDefault="00000000">
      <w:r>
        <w:t>Verse 17 supplies the third major occurrence of the giving motif: God gives the four young men knowledge and intelligence in literature and wisdom, while Daniel receives particular understanding in visions and dreams (Daniel 1:17). This final clause quietly prepares the reader for the chapters that follow. The dream narratives of Daniel 2 and 4 and the visions of the later book do not appear without preparation. Daniel 1 establishes that the capacity by which Daniel will interpret mysteries is itself a divine gift.</w:t>
      </w:r>
    </w:p>
    <w:p w14:paraId="59E4939C" w14:textId="77777777" w:rsidR="00B409CA" w:rsidRDefault="00000000">
      <w:r>
        <w:t>There is an important theological subtlety here. The young men have genuinely studied Babylonian learning, yet the narrator attributes their superior knowledge to God. Daniel therefore does not offer a simplistic opposition between education and revelation. Human study is real; divine gifting is ultimate. The empire can provide a curriculum, but it cannot manufacture wisdom.</w:t>
      </w:r>
    </w:p>
    <w:p w14:paraId="30FF9E71" w14:textId="77777777" w:rsidR="00B409CA" w:rsidRDefault="00000000">
      <w:r>
        <w:t>When Nebuchadnezzar examines them, he finds them “ten times better” than the magicians and conjurers in his realm (Daniel 1:18–20). The expression functions naturally as an idiom of exceptional superiority rather than as a modern statistical score. The irony is deliberate: the empire sought to remake Judean youths into servants of Babylon, but God uses Babylon’s own training environment to position His servants within the empire.</w:t>
      </w:r>
    </w:p>
    <w:p w14:paraId="596E1590" w14:textId="77777777" w:rsidR="00B409CA" w:rsidRDefault="00000000">
      <w:pPr>
        <w:pStyle w:val="Heading2"/>
      </w:pPr>
      <w:r>
        <w:t>Daniel 1:21 — The Man Outlasts the Empire</w:t>
      </w:r>
    </w:p>
    <w:p w14:paraId="6F3E1E36" w14:textId="77777777" w:rsidR="00B409CA" w:rsidRDefault="00000000">
      <w:r>
        <w:t>The chapter closes by stating that Daniel continued until the first year of Cyrus (Daniel 1:21). This is far more than chronological housekeeping. Cyrus represents the Persian conquest of Babylon in 539 BC and the new imperial order under which exiled peoples, including the Judeans, would experience a changed policy toward return and restoration (2 Chronicles 36:22–23; Ezra 1:1–4). The man who entered Babylon as a displaced Judean youth remains when the empire that renamed and educated him is gone.</w:t>
      </w:r>
    </w:p>
    <w:p w14:paraId="3D19E2D9" w14:textId="77777777" w:rsidR="00B409CA" w:rsidRDefault="00000000">
      <w:r>
        <w:t>This closing line provides a literary bridge to the wider book. Daniel’s life spans changing regimes, yet his God does not change. The kingdoms of Daniel will rise, boast, fracture, and fall. The servant of God survives because history belongs to the God who gives kingdoms and removes them (cf. Daniel 2:20–21).</w:t>
      </w:r>
    </w:p>
    <w:p w14:paraId="25206198" w14:textId="77777777" w:rsidR="00B409CA" w:rsidRDefault="00000000">
      <w:pPr>
        <w:pStyle w:val="Heading1"/>
      </w:pPr>
      <w:r>
        <w:lastRenderedPageBreak/>
        <w:t>III. Literary Structure and Canonical Setting</w:t>
      </w:r>
    </w:p>
    <w:p w14:paraId="664CD7FD" w14:textId="77777777" w:rsidR="00B409CA" w:rsidRDefault="00000000">
      <w:pPr>
        <w:pStyle w:val="Heading2"/>
      </w:pPr>
      <w:r>
        <w:t>The Shape of Daniel 1</w:t>
      </w:r>
    </w:p>
    <w:tbl>
      <w:tblPr>
        <w:tblStyle w:val="TableGrid"/>
        <w:tblW w:w="0" w:type="auto"/>
        <w:jc w:val="center"/>
        <w:tblLook w:val="04A0" w:firstRow="1" w:lastRow="0" w:firstColumn="1" w:lastColumn="0" w:noHBand="0" w:noVBand="1"/>
      </w:tblPr>
      <w:tblGrid>
        <w:gridCol w:w="3290"/>
        <w:gridCol w:w="3288"/>
        <w:gridCol w:w="3290"/>
      </w:tblGrid>
      <w:tr w:rsidR="00B409CA" w14:paraId="2AE97D22" w14:textId="77777777">
        <w:trPr>
          <w:jc w:val="center"/>
        </w:trPr>
        <w:tc>
          <w:tcPr>
            <w:tcW w:w="3293" w:type="dxa"/>
          </w:tcPr>
          <w:p w14:paraId="2D06E199" w14:textId="77777777" w:rsidR="00B409CA" w:rsidRDefault="00000000">
            <w:r>
              <w:t>Movement</w:t>
            </w:r>
          </w:p>
        </w:tc>
        <w:tc>
          <w:tcPr>
            <w:tcW w:w="3293" w:type="dxa"/>
          </w:tcPr>
          <w:p w14:paraId="7C097881" w14:textId="77777777" w:rsidR="00B409CA" w:rsidRDefault="00000000">
            <w:r>
              <w:t>Text</w:t>
            </w:r>
          </w:p>
        </w:tc>
        <w:tc>
          <w:tcPr>
            <w:tcW w:w="3293" w:type="dxa"/>
          </w:tcPr>
          <w:p w14:paraId="1260E979" w14:textId="77777777" w:rsidR="00B409CA" w:rsidRDefault="00000000">
            <w:r>
              <w:t>Function</w:t>
            </w:r>
          </w:p>
        </w:tc>
      </w:tr>
      <w:tr w:rsidR="00B409CA" w14:paraId="7532359A" w14:textId="77777777">
        <w:trPr>
          <w:jc w:val="center"/>
        </w:trPr>
        <w:tc>
          <w:tcPr>
            <w:tcW w:w="3293" w:type="dxa"/>
          </w:tcPr>
          <w:p w14:paraId="5A724157" w14:textId="77777777" w:rsidR="00B409CA" w:rsidRDefault="00000000">
            <w:r>
              <w:t>Judah handed over</w:t>
            </w:r>
          </w:p>
        </w:tc>
        <w:tc>
          <w:tcPr>
            <w:tcW w:w="3293" w:type="dxa"/>
          </w:tcPr>
          <w:p w14:paraId="6C418516" w14:textId="77777777" w:rsidR="00B409CA" w:rsidRDefault="00000000">
            <w:r>
              <w:t>1:1–2</w:t>
            </w:r>
          </w:p>
        </w:tc>
        <w:tc>
          <w:tcPr>
            <w:tcW w:w="3293" w:type="dxa"/>
          </w:tcPr>
          <w:p w14:paraId="289B9F12" w14:textId="77777777" w:rsidR="00B409CA" w:rsidRDefault="00000000">
            <w:r>
              <w:t>God interprets the apparent Babylonian victory.</w:t>
            </w:r>
          </w:p>
        </w:tc>
      </w:tr>
      <w:tr w:rsidR="00B409CA" w14:paraId="356290E3" w14:textId="77777777">
        <w:trPr>
          <w:jc w:val="center"/>
        </w:trPr>
        <w:tc>
          <w:tcPr>
            <w:tcW w:w="3293" w:type="dxa"/>
          </w:tcPr>
          <w:p w14:paraId="223F3A66" w14:textId="77777777" w:rsidR="00B409CA" w:rsidRDefault="00000000">
            <w:r>
              <w:t>Identity challenged</w:t>
            </w:r>
          </w:p>
        </w:tc>
        <w:tc>
          <w:tcPr>
            <w:tcW w:w="3293" w:type="dxa"/>
          </w:tcPr>
          <w:p w14:paraId="6EB032CB" w14:textId="77777777" w:rsidR="00B409CA" w:rsidRDefault="00000000">
            <w:r>
              <w:t>1:3–7</w:t>
            </w:r>
          </w:p>
        </w:tc>
        <w:tc>
          <w:tcPr>
            <w:tcW w:w="3293" w:type="dxa"/>
          </w:tcPr>
          <w:p w14:paraId="78998A7B" w14:textId="77777777" w:rsidR="00B409CA" w:rsidRDefault="00000000">
            <w:r>
              <w:t>Empire relocates, educates, renames, and provisions the youths.</w:t>
            </w:r>
          </w:p>
        </w:tc>
      </w:tr>
      <w:tr w:rsidR="00B409CA" w14:paraId="37443D3A" w14:textId="77777777">
        <w:trPr>
          <w:jc w:val="center"/>
        </w:trPr>
        <w:tc>
          <w:tcPr>
            <w:tcW w:w="3293" w:type="dxa"/>
          </w:tcPr>
          <w:p w14:paraId="215D2637" w14:textId="77777777" w:rsidR="00B409CA" w:rsidRDefault="00000000">
            <w:r>
              <w:t>Faithfulness resolved</w:t>
            </w:r>
          </w:p>
        </w:tc>
        <w:tc>
          <w:tcPr>
            <w:tcW w:w="3293" w:type="dxa"/>
          </w:tcPr>
          <w:p w14:paraId="0D8FC5FA" w14:textId="77777777" w:rsidR="00B409CA" w:rsidRDefault="00000000">
            <w:r>
              <w:t>1:8–16</w:t>
            </w:r>
          </w:p>
        </w:tc>
        <w:tc>
          <w:tcPr>
            <w:tcW w:w="3293" w:type="dxa"/>
          </w:tcPr>
          <w:p w14:paraId="5FAAD1EC" w14:textId="77777777" w:rsidR="00B409CA" w:rsidRDefault="00000000">
            <w:r>
              <w:t>Daniel establishes a boundary and acts with wise courage.</w:t>
            </w:r>
          </w:p>
        </w:tc>
      </w:tr>
      <w:tr w:rsidR="00B409CA" w14:paraId="5242181C" w14:textId="77777777">
        <w:trPr>
          <w:jc w:val="center"/>
        </w:trPr>
        <w:tc>
          <w:tcPr>
            <w:tcW w:w="3293" w:type="dxa"/>
          </w:tcPr>
          <w:p w14:paraId="4FEDA286" w14:textId="77777777" w:rsidR="00B409CA" w:rsidRDefault="00000000">
            <w:r>
              <w:t>Wisdom bestowed</w:t>
            </w:r>
          </w:p>
        </w:tc>
        <w:tc>
          <w:tcPr>
            <w:tcW w:w="3293" w:type="dxa"/>
          </w:tcPr>
          <w:p w14:paraId="6A80E151" w14:textId="77777777" w:rsidR="00B409CA" w:rsidRDefault="00000000">
            <w:r>
              <w:t>1:17–20</w:t>
            </w:r>
          </w:p>
        </w:tc>
        <w:tc>
          <w:tcPr>
            <w:tcW w:w="3293" w:type="dxa"/>
          </w:tcPr>
          <w:p w14:paraId="6D50DD2E" w14:textId="77777777" w:rsidR="00B409CA" w:rsidRDefault="00000000">
            <w:r>
              <w:t>God equips the youths and places them before the king.</w:t>
            </w:r>
          </w:p>
        </w:tc>
      </w:tr>
      <w:tr w:rsidR="00B409CA" w14:paraId="0240205D" w14:textId="77777777">
        <w:trPr>
          <w:jc w:val="center"/>
        </w:trPr>
        <w:tc>
          <w:tcPr>
            <w:tcW w:w="3293" w:type="dxa"/>
          </w:tcPr>
          <w:p w14:paraId="4CA3C150" w14:textId="77777777" w:rsidR="00B409CA" w:rsidRDefault="00000000">
            <w:r>
              <w:t>Empire relativized</w:t>
            </w:r>
          </w:p>
        </w:tc>
        <w:tc>
          <w:tcPr>
            <w:tcW w:w="3293" w:type="dxa"/>
          </w:tcPr>
          <w:p w14:paraId="413BFD6B" w14:textId="77777777" w:rsidR="00B409CA" w:rsidRDefault="00000000">
            <w:r>
              <w:t>1:21</w:t>
            </w:r>
          </w:p>
        </w:tc>
        <w:tc>
          <w:tcPr>
            <w:tcW w:w="3293" w:type="dxa"/>
          </w:tcPr>
          <w:p w14:paraId="3575C62B" w14:textId="77777777" w:rsidR="00B409CA" w:rsidRDefault="00000000">
            <w:r>
              <w:t>Daniel’s continuity anticipates Babylon’s disappearance.</w:t>
            </w:r>
          </w:p>
        </w:tc>
      </w:tr>
    </w:tbl>
    <w:p w14:paraId="712640DC" w14:textId="77777777" w:rsidR="00B409CA" w:rsidRDefault="00000000">
      <w:r>
        <w:t>The structure moves from apparent defeat to providential placement. The chapter begins with sacred vessels entering Babylon and ends with a servant of Yahweh remaining beyond Babylon. In between, the repeated divine giving interprets the story. The literary artistry prevents the reader from confusing visible power with ultimate sovereignty.</w:t>
      </w:r>
    </w:p>
    <w:p w14:paraId="63933727" w14:textId="77777777" w:rsidR="00B409CA" w:rsidRDefault="00000000">
      <w:pPr>
        <w:pStyle w:val="Heading2"/>
      </w:pPr>
      <w:r>
        <w:t>From Babel to Babylon—and Beyond</w:t>
      </w:r>
    </w:p>
    <w:p w14:paraId="21B7AE0F" w14:textId="77777777" w:rsidR="00B409CA" w:rsidRDefault="00000000">
      <w:r>
        <w:t>The reference to Shinar (Daniel 1:2) invites a canonical connection to Genesis 11:1–9, where humanity gathers in Shinar to build Babel and make a name for itself. Daniel enters the mature imperial expression of that impulse: a magnificent human kingdom with its own gods, wisdom, names, and claims to loyalty. Later biblical literature continues to use Babylon as a symbol of arrogant human power, culminating in Revelation’s portrayal of Babylon as a comprehensive political, economic, and religious system opposed to God (Revelation 17–18).</w:t>
      </w:r>
    </w:p>
    <w:p w14:paraId="1E9D3597" w14:textId="77777777" w:rsidR="00B409CA" w:rsidRDefault="00000000">
      <w:r>
        <w:t>This makes Daniel indispensable for the path from Daniel into Revelation. Daniel supplies much of Revelation’s symbolic grammar: beasts and kingdoms (Daniel 7; Revelation 13), heavenly court scenes (Daniel 7:9–14; Revelation 4–5), persecution and endurance (Daniel 3; 6; 7:21–25; Revelation 12–14), divine judgment, and the final triumph of God’s kingdom. Daniel 1 begins that theology quietly, not with beasts or visions, but with four young men learning how to live faithfully inside an empire that claims the right to define them.</w:t>
      </w:r>
    </w:p>
    <w:p w14:paraId="101DA7EB" w14:textId="77777777" w:rsidR="00B409CA" w:rsidRDefault="00000000">
      <w:pPr>
        <w:pStyle w:val="Heading2"/>
      </w:pPr>
      <w:r>
        <w:t>Kings, Jeremiah, Isaiah, and Daniel Read Together</w:t>
      </w:r>
    </w:p>
    <w:p w14:paraId="5CBF8F7A" w14:textId="77777777" w:rsidR="00B409CA" w:rsidRDefault="00000000">
      <w:r>
        <w:t>Kings explains the covenant deterioration that made judgment necessary (2 Kings 21–24). Chronicles adds important dimensions of repentance, reform, and the final collapse (2 Chronicles 33–36). Isaiah had already anticipated the removal of royal descendants and treasures to Babylon (Isaiah 39:5–7). Jeremiah interprets Babylon as God’s appointed instrument and instructs the exiles to live faithfully during displacement (Jeremiah 25; 27; 29). Daniel shows what such faithfulness looks like from inside the imperial court.</w:t>
      </w:r>
    </w:p>
    <w:p w14:paraId="3BF0227F" w14:textId="77777777" w:rsidR="00B409CA" w:rsidRDefault="00000000">
      <w:r>
        <w:t>These books therefore illuminate one another. Daniel’s service in Babylon is not a betrayal of Jeremiah’s message; it is one expression of life under the conditions Jeremiah announced. The exiles are told to seek the welfare of the city where God has sent them (Jeremiah 29:4–7), and Daniel eventually embodies that posture at the highest levels of government. He serves the city without worshiping its gods, contributes to the empire without surrendering his identity, and learns its culture without accepting its worldview as final.</w:t>
      </w:r>
    </w:p>
    <w:p w14:paraId="0668408D" w14:textId="77777777" w:rsidR="00B409CA" w:rsidRDefault="00000000">
      <w:pPr>
        <w:pStyle w:val="Heading1"/>
      </w:pPr>
      <w:r>
        <w:lastRenderedPageBreak/>
        <w:t>IV. Theological Hermeneutics: What Daniel 1 Teaches</w:t>
      </w:r>
    </w:p>
    <w:p w14:paraId="68810F9A" w14:textId="77777777" w:rsidR="00B409CA" w:rsidRDefault="00000000">
      <w:pPr>
        <w:pStyle w:val="Heading2"/>
      </w:pPr>
      <w:r>
        <w:t>1. God’s Sovereignty Is Often Hidden inside Apparent Defeat</w:t>
      </w:r>
    </w:p>
    <w:p w14:paraId="3A40717E" w14:textId="77777777" w:rsidR="00B409CA" w:rsidRDefault="00000000">
      <w:r>
        <w:t>The theological center of Daniel 1 is not first that Daniel possesses exceptional courage, although he does. The deeper claim is that God remains sovereign when every visible sign appears to indicate His defeat. Jerusalem is besieged, the king is handed over, temple vessels are carried into a pagan treasury, and Judean youths are placed under a foreign king (Daniel 1:1–7). Ancient observers could interpret those events as the triumph of Babylon and its gods. Daniel refuses that interpretation with a single theological assertion: the Lord gave (Daniel 1:2). This does not make suffering unreal. It means that history cannot be interpreted solely by appearances.</w:t>
      </w:r>
    </w:p>
    <w:p w14:paraId="554ED3DA" w14:textId="77777777" w:rsidR="00B409CA" w:rsidRDefault="00000000">
      <w:pPr>
        <w:pStyle w:val="Heading2"/>
      </w:pPr>
      <w:r>
        <w:t>2. Judgment Does Not Mean God Has Lost Control</w:t>
      </w:r>
    </w:p>
    <w:p w14:paraId="4C222D4F" w14:textId="77777777" w:rsidR="00B409CA" w:rsidRDefault="00000000">
      <w:r>
        <w:t>Judah’s defeat is itself an act of divine judgment. The covenant had warned of exile for persistent rebellion (Deuteronomy 28:36–37, 49–52, 63–68), the prophets had announced the approaching sentence (Jeremiah 25:8–11), and Daniel identifies the Lord as the One who gives Judah into Babylon’s hand (Daniel 1:2). God’s holiness is demonstrated, not disproved, when He refuses to make covenant privilege a shelter for persistent rebellion.</w:t>
      </w:r>
    </w:p>
    <w:p w14:paraId="563104BE" w14:textId="77777777" w:rsidR="00B409CA" w:rsidRDefault="00000000">
      <w:pPr>
        <w:pStyle w:val="Heading2"/>
      </w:pPr>
      <w:r>
        <w:t>3. Identity Can Survive Cultural Displacement</w:t>
      </w:r>
    </w:p>
    <w:p w14:paraId="318FCD15" w14:textId="77777777" w:rsidR="00B409CA" w:rsidRDefault="00000000">
      <w:r>
        <w:t>Daniel loses nearly every external support by which identity could normally be reinforced. He is removed from homeland, Temple, national government, familiar social structures, and ordinary patterns of worship; his public name is changed and his education is controlled by another civilization (Daniel 1:3–7). Yet his deepest identity survives because it is anchored in allegiance to God rather than dependent upon favorable surroundings. His resolve in verse 8 reveals that Babylon has gained access to his circumstances without gaining ownership of his heart.</w:t>
      </w:r>
    </w:p>
    <w:p w14:paraId="74BB7338" w14:textId="77777777" w:rsidR="00B409CA" w:rsidRDefault="00000000">
      <w:pPr>
        <w:pStyle w:val="Heading2"/>
      </w:pPr>
      <w:r>
        <w:t>4. Faithfulness Requires Discernment, Not Reflexive Rejection</w:t>
      </w:r>
    </w:p>
    <w:p w14:paraId="56402E51" w14:textId="77777777" w:rsidR="00B409CA" w:rsidRDefault="00000000">
      <w:r>
        <w:t>Daniel does not resist everything. He can learn Babylonian material, function under a Babylonian name, and prepare to serve a pagan monarch, but he identifies a point at which participation would become defilement (Daniel 1:4–8). His model is therefore neither isolation nor assimilation. It is faithful presence shaped by discernment.</w:t>
      </w:r>
    </w:p>
    <w:p w14:paraId="773DC6BE" w14:textId="77777777" w:rsidR="00B409CA" w:rsidRDefault="00000000">
      <w:pPr>
        <w:pStyle w:val="Heading2"/>
      </w:pPr>
      <w:r>
        <w:t>5. Conviction and Courtesy Are Not Opposites</w:t>
      </w:r>
    </w:p>
    <w:p w14:paraId="17FE67C1" w14:textId="77777777" w:rsidR="00B409CA" w:rsidRDefault="00000000">
      <w:r>
        <w:t>Daniel’s resolve is firm, but his manner is wise. He makes requests, recognizes the official’s fear, proposes a workable test, and allows the result to be examined (Daniel 1:8–16). The chapter offers no admiration for unnecessary hostility. Courage does not require abrasiveness. Daniel demonstrates that a believer can refuse compromise while still treating those within an opposing system with dignity and prudence.</w:t>
      </w:r>
    </w:p>
    <w:p w14:paraId="15DF0CFD" w14:textId="77777777" w:rsidR="00B409CA" w:rsidRDefault="00000000">
      <w:pPr>
        <w:pStyle w:val="Heading2"/>
      </w:pPr>
      <w:r>
        <w:t>6. God Can Use the Education of Babylon without Surrendering His Servant to Babylon</w:t>
      </w:r>
    </w:p>
    <w:p w14:paraId="29021064" w14:textId="77777777" w:rsidR="00B409CA" w:rsidRDefault="00000000">
      <w:r>
        <w:t>Daniel’s education provides a mature theology of learning. Babylon possesses real knowledge and a sophisticated intellectual tradition, and Daniel studies within it (Daniel 1:4–5, 17). Yet God remains the ultimate source of the wisdom by which Daniel understands and judges what he learns (Daniel 1:17). The believer need not fear learning, but neither should any intellectual system be granted the authority to define ultimate truth apart from God.</w:t>
      </w:r>
    </w:p>
    <w:p w14:paraId="4F3B94EF" w14:textId="77777777" w:rsidR="00B409CA" w:rsidRDefault="00000000">
      <w:pPr>
        <w:pStyle w:val="Heading2"/>
      </w:pPr>
      <w:r>
        <w:t>7. Human Kingdoms Are Temporary; God’s Kingdom Is Not</w:t>
      </w:r>
    </w:p>
    <w:p w14:paraId="3BCD6F0A" w14:textId="77777777" w:rsidR="00B409CA" w:rsidRDefault="00000000">
      <w:r>
        <w:t xml:space="preserve">Daniel 1:21 is the quiet theological punch line of the chapter. The king who seems able to determine everything at the beginning does not determine the end. Daniel continues until Cyrus. This anticipates the </w:t>
      </w:r>
      <w:r>
        <w:lastRenderedPageBreak/>
        <w:t>entire book’s theology of kingdoms: God changes times and seasons, removes kings, and establishes kings (Daniel 2:20–21). Political systems may be impressive and apparently permanent, but none possesses permanence in itself.</w:t>
      </w:r>
    </w:p>
    <w:p w14:paraId="5329A0C8" w14:textId="77777777" w:rsidR="00B409CA" w:rsidRDefault="00000000">
      <w:pPr>
        <w:pStyle w:val="Heading1"/>
      </w:pPr>
      <w:r>
        <w:t>V. Teaching Synthesis</w:t>
      </w:r>
    </w:p>
    <w:tbl>
      <w:tblPr>
        <w:tblW w:w="0" w:type="auto"/>
        <w:jc w:val="center"/>
        <w:tblLook w:val="04A0" w:firstRow="1" w:lastRow="0" w:firstColumn="1" w:lastColumn="0" w:noHBand="0" w:noVBand="1"/>
      </w:tblPr>
      <w:tblGrid>
        <w:gridCol w:w="9878"/>
      </w:tblGrid>
      <w:tr w:rsidR="00B409CA" w14:paraId="55F64268" w14:textId="77777777">
        <w:trPr>
          <w:jc w:val="center"/>
        </w:trPr>
        <w:tc>
          <w:tcPr>
            <w:tcW w:w="9878" w:type="dxa"/>
            <w:shd w:val="clear" w:color="auto" w:fill="EDEDED"/>
            <w:vAlign w:val="center"/>
          </w:tcPr>
          <w:p w14:paraId="7F0A03CD" w14:textId="77777777" w:rsidR="00B409CA" w:rsidRDefault="00000000">
            <w:r>
              <w:rPr>
                <w:b/>
                <w:sz w:val="22"/>
              </w:rPr>
              <w:t>Expositional Thesis</w:t>
            </w:r>
          </w:p>
          <w:p w14:paraId="3E40C5EF" w14:textId="77777777" w:rsidR="00B409CA" w:rsidRDefault="00000000">
            <w:pPr>
              <w:spacing w:after="0"/>
            </w:pPr>
            <w:r>
              <w:t>Daniel 1 teaches that God remains sovereign in judgment and exile, and that His people can live faithfully within a powerful foreign culture when their identity is rooted in Him, their boundaries are shaped by His Word, and their participation in society never becomes surrender to society’s ultimate claims.</w:t>
            </w:r>
          </w:p>
        </w:tc>
      </w:tr>
    </w:tbl>
    <w:p w14:paraId="635E6ECA" w14:textId="77777777" w:rsidR="00B409CA" w:rsidRDefault="00B409CA">
      <w:pPr>
        <w:spacing w:after="20"/>
      </w:pPr>
    </w:p>
    <w:p w14:paraId="38CD2183" w14:textId="77777777" w:rsidR="00B409CA" w:rsidRDefault="00000000">
      <w:r>
        <w:t>The chapter answers questions that would have mattered deeply to displaced believers. Has Babylon’s victory shown that Babylon’s gods are stronger than Israel’s God? No—the Lord gave (Daniel 1:2). Can the people of God remain faithful when the institutions around them belong to another worldview? Yes—Daniel demonstrates discerning participation without assimilation (Daniel 1:8–16). Can God work through pagan governments, foreign education, and hostile historical circumstances? Yes—the chapter repeatedly shows Him giving favor and wisdom within precisely those settings (Daniel 1:9, 17). Will the empire have the final word? No—Daniel remains when Babylon does not (Daniel 1:21).</w:t>
      </w:r>
    </w:p>
    <w:p w14:paraId="308B682C" w14:textId="77777777" w:rsidR="00B409CA" w:rsidRDefault="00000000">
      <w:pPr>
        <w:pStyle w:val="Heading2"/>
      </w:pPr>
      <w:r>
        <w:t>Questions for Reflection and Discussion</w:t>
      </w:r>
    </w:p>
    <w:p w14:paraId="6F2821B2" w14:textId="77777777" w:rsidR="00B409CA" w:rsidRDefault="00000000">
      <w:pPr>
        <w:ind w:left="259" w:hanging="259"/>
      </w:pPr>
      <w:r>
        <w:rPr>
          <w:b/>
        </w:rPr>
        <w:t xml:space="preserve">• </w:t>
      </w:r>
      <w:r>
        <w:t>Why is the history from Manasseh through Jehoiakim necessary for understanding “the Lord gave” in Daniel 1:2?</w:t>
      </w:r>
    </w:p>
    <w:p w14:paraId="71A18EF7" w14:textId="77777777" w:rsidR="00B409CA" w:rsidRDefault="00000000">
      <w:pPr>
        <w:ind w:left="259" w:hanging="259"/>
      </w:pPr>
      <w:r>
        <w:rPr>
          <w:b/>
        </w:rPr>
        <w:t xml:space="preserve">• </w:t>
      </w:r>
      <w:r>
        <w:t>What does the contrast between Josiah (2 Kings 22:11) and Jehoiakim (Jeremiah 36:23–24) reveal about leadership and response to Scripture?</w:t>
      </w:r>
    </w:p>
    <w:p w14:paraId="5DF689BF" w14:textId="77777777" w:rsidR="00B409CA" w:rsidRDefault="00000000">
      <w:pPr>
        <w:ind w:left="259" w:hanging="259"/>
      </w:pPr>
      <w:r>
        <w:rPr>
          <w:b/>
        </w:rPr>
        <w:t xml:space="preserve">• </w:t>
      </w:r>
      <w:r>
        <w:t>How do Jeremiah 25 and 27 help us interpret Nebuchadnezzar’s role in Daniel 1?</w:t>
      </w:r>
    </w:p>
    <w:p w14:paraId="560F5381" w14:textId="77777777" w:rsidR="00B409CA" w:rsidRDefault="00000000">
      <w:pPr>
        <w:ind w:left="259" w:hanging="259"/>
      </w:pPr>
      <w:r>
        <w:rPr>
          <w:b/>
        </w:rPr>
        <w:t xml:space="preserve">• </w:t>
      </w:r>
      <w:r>
        <w:t>What elements of Babylonian culture does Daniel accept, and where does he establish a boundary (Daniel 1:4–8)?</w:t>
      </w:r>
    </w:p>
    <w:p w14:paraId="25036404" w14:textId="77777777" w:rsidR="00B409CA" w:rsidRDefault="00000000">
      <w:pPr>
        <w:ind w:left="259" w:hanging="259"/>
      </w:pPr>
      <w:r>
        <w:rPr>
          <w:b/>
        </w:rPr>
        <w:t xml:space="preserve">• </w:t>
      </w:r>
      <w:r>
        <w:t>How does the repeated use of “gave” in Daniel 1:2, 9, and 17 control the reader’s interpretation of the chapter?</w:t>
      </w:r>
    </w:p>
    <w:p w14:paraId="0E20B35D" w14:textId="77777777" w:rsidR="00B409CA" w:rsidRDefault="00000000">
      <w:pPr>
        <w:ind w:left="259" w:hanging="259"/>
      </w:pPr>
      <w:r>
        <w:rPr>
          <w:b/>
        </w:rPr>
        <w:t xml:space="preserve">• </w:t>
      </w:r>
      <w:r>
        <w:t>What is the significance of Daniel’s resolve occurring first in his “heart” (Daniel 1:8)?</w:t>
      </w:r>
    </w:p>
    <w:p w14:paraId="178DBC52" w14:textId="77777777" w:rsidR="00B409CA" w:rsidRDefault="00000000">
      <w:pPr>
        <w:ind w:left="259" w:hanging="259"/>
      </w:pPr>
      <w:r>
        <w:rPr>
          <w:b/>
        </w:rPr>
        <w:t xml:space="preserve">• </w:t>
      </w:r>
      <w:r>
        <w:t>How does Daniel model faithful presence in light of Jeremiah 29:4–7?</w:t>
      </w:r>
    </w:p>
    <w:p w14:paraId="337E5ED8" w14:textId="77777777" w:rsidR="00B409CA" w:rsidRDefault="00000000">
      <w:pPr>
        <w:ind w:left="259" w:hanging="259"/>
      </w:pPr>
      <w:r>
        <w:rPr>
          <w:b/>
        </w:rPr>
        <w:t xml:space="preserve">• </w:t>
      </w:r>
      <w:r>
        <w:t>Why is Daniel 1:21 a theological conclusion rather than merely a chronological note?</w:t>
      </w:r>
    </w:p>
    <w:p w14:paraId="12096222" w14:textId="77777777" w:rsidR="00B409CA" w:rsidRDefault="00000000">
      <w:pPr>
        <w:ind w:left="259" w:hanging="259"/>
      </w:pPr>
      <w:r>
        <w:rPr>
          <w:b/>
        </w:rPr>
        <w:t xml:space="preserve">• </w:t>
      </w:r>
      <w:r>
        <w:t>How do Genesis 11, Daniel 1, and Revelation 17–18 contribute to a canonical theology of Babylon?</w:t>
      </w:r>
    </w:p>
    <w:p w14:paraId="0D0667C7" w14:textId="77777777" w:rsidR="00B409CA" w:rsidRDefault="00000000">
      <w:pPr>
        <w:pStyle w:val="Heading1"/>
      </w:pPr>
      <w:r>
        <w:t>Primary Biblical Sources</w:t>
      </w:r>
    </w:p>
    <w:p w14:paraId="49C80453" w14:textId="77777777" w:rsidR="00B409CA" w:rsidRDefault="00000000">
      <w:pPr>
        <w:ind w:left="259" w:hanging="259"/>
      </w:pPr>
      <w:r>
        <w:rPr>
          <w:b/>
        </w:rPr>
        <w:t xml:space="preserve">• Covenant background: </w:t>
      </w:r>
      <w:r>
        <w:t>Deuteronomy 28:15–68; 30:15–20.</w:t>
      </w:r>
    </w:p>
    <w:p w14:paraId="195AC57D" w14:textId="77777777" w:rsidR="00B409CA" w:rsidRDefault="00000000">
      <w:pPr>
        <w:ind w:left="259" w:hanging="259"/>
      </w:pPr>
      <w:r>
        <w:rPr>
          <w:b/>
        </w:rPr>
        <w:t xml:space="preserve">• Manasseh and Amon: </w:t>
      </w:r>
      <w:r>
        <w:t>2 Kings 21; 2 Chronicles 33.</w:t>
      </w:r>
    </w:p>
    <w:p w14:paraId="4A56FE03" w14:textId="77777777" w:rsidR="00B409CA" w:rsidRDefault="00000000">
      <w:pPr>
        <w:ind w:left="259" w:hanging="259"/>
      </w:pPr>
      <w:r>
        <w:rPr>
          <w:b/>
        </w:rPr>
        <w:t xml:space="preserve">• Josiah and the recovery of the Law: </w:t>
      </w:r>
      <w:r>
        <w:t>2 Kings 22–23:30; 2 Chronicles 34–35.</w:t>
      </w:r>
    </w:p>
    <w:p w14:paraId="065B9C60" w14:textId="77777777" w:rsidR="00B409CA" w:rsidRDefault="00000000">
      <w:pPr>
        <w:ind w:left="259" w:hanging="259"/>
      </w:pPr>
      <w:r>
        <w:rPr>
          <w:b/>
        </w:rPr>
        <w:t xml:space="preserve">• Egyptian control and Jehoiakim: </w:t>
      </w:r>
      <w:r>
        <w:t>2 Kings 23:31–37; 2 Chronicles 36:1–8.</w:t>
      </w:r>
    </w:p>
    <w:p w14:paraId="038AB5D7" w14:textId="77777777" w:rsidR="00B409CA" w:rsidRDefault="00000000">
      <w:pPr>
        <w:ind w:left="259" w:hanging="259"/>
      </w:pPr>
      <w:r>
        <w:rPr>
          <w:b/>
        </w:rPr>
        <w:t xml:space="preserve">• Jehoiakim’s rejection of the prophetic Word: </w:t>
      </w:r>
      <w:r>
        <w:t>Jeremiah 22:13–19; 36.</w:t>
      </w:r>
    </w:p>
    <w:p w14:paraId="7B6EBDF6" w14:textId="77777777" w:rsidR="00B409CA" w:rsidRDefault="00000000">
      <w:pPr>
        <w:ind w:left="259" w:hanging="259"/>
      </w:pPr>
      <w:r>
        <w:rPr>
          <w:b/>
        </w:rPr>
        <w:t xml:space="preserve">• Carchemish and the fourth year of Jehoiakim: </w:t>
      </w:r>
      <w:r>
        <w:t>Jeremiah 25:1; 46:2.</w:t>
      </w:r>
    </w:p>
    <w:p w14:paraId="627A83CC" w14:textId="77777777" w:rsidR="00B409CA" w:rsidRDefault="00000000">
      <w:pPr>
        <w:ind w:left="259" w:hanging="259"/>
      </w:pPr>
      <w:r>
        <w:rPr>
          <w:b/>
        </w:rPr>
        <w:t xml:space="preserve">• Nebuchadnezzar as God’s instrument: </w:t>
      </w:r>
      <w:r>
        <w:t>Jeremiah 25:8–14; 27:5–15.</w:t>
      </w:r>
    </w:p>
    <w:p w14:paraId="111F05A6" w14:textId="77777777" w:rsidR="00B409CA" w:rsidRDefault="00000000">
      <w:pPr>
        <w:ind w:left="259" w:hanging="259"/>
      </w:pPr>
      <w:r>
        <w:rPr>
          <w:b/>
        </w:rPr>
        <w:lastRenderedPageBreak/>
        <w:t xml:space="preserve">• Life in exile: </w:t>
      </w:r>
      <w:r>
        <w:t>Jeremiah 29:1–14.</w:t>
      </w:r>
    </w:p>
    <w:p w14:paraId="6E28714A" w14:textId="77777777" w:rsidR="00B409CA" w:rsidRDefault="00000000">
      <w:pPr>
        <w:ind w:left="259" w:hanging="259"/>
      </w:pPr>
      <w:r>
        <w:rPr>
          <w:b/>
        </w:rPr>
        <w:t xml:space="preserve">• Earlier Babylonian prophecy: </w:t>
      </w:r>
      <w:r>
        <w:t>2 Kings 20:12–18; Isaiah 39.</w:t>
      </w:r>
    </w:p>
    <w:p w14:paraId="208F28BC" w14:textId="77777777" w:rsidR="00B409CA" w:rsidRDefault="00000000">
      <w:pPr>
        <w:ind w:left="259" w:hanging="259"/>
      </w:pPr>
      <w:r>
        <w:rPr>
          <w:b/>
        </w:rPr>
        <w:t xml:space="preserve">• Later Babylonian intervention in Jerusalem: </w:t>
      </w:r>
      <w:r>
        <w:t>2 Kings 24–25; 2 Chronicles 36:9–21; Jeremiah 39; 52.</w:t>
      </w:r>
    </w:p>
    <w:p w14:paraId="2F1A69B9" w14:textId="77777777" w:rsidR="00B409CA" w:rsidRDefault="00000000">
      <w:pPr>
        <w:ind w:left="259" w:hanging="259"/>
      </w:pPr>
      <w:r>
        <w:rPr>
          <w:b/>
        </w:rPr>
        <w:t xml:space="preserve">• Canonical Babylon trajectory: </w:t>
      </w:r>
      <w:r>
        <w:t>Genesis 11:1–9; Daniel 1–7; Revelation 13; 17–18.</w:t>
      </w:r>
    </w:p>
    <w:p w14:paraId="2356A53E" w14:textId="77777777" w:rsidR="00B409CA" w:rsidRDefault="00000000">
      <w:pPr>
        <w:pStyle w:val="Heading1"/>
      </w:pPr>
      <w:r>
        <w:t>Selected Extrabiblical and Historical Resources</w:t>
      </w:r>
    </w:p>
    <w:p w14:paraId="4E0DF67E" w14:textId="77777777" w:rsidR="00B409CA" w:rsidRDefault="00000000">
      <w:pPr>
        <w:ind w:left="259" w:hanging="259"/>
      </w:pPr>
      <w:r>
        <w:rPr>
          <w:b/>
        </w:rPr>
        <w:t xml:space="preserve">• Babylonian Chronicle ABC 5 (Jerusalem Chronicle; BM 21946). </w:t>
      </w:r>
      <w:r>
        <w:t>Records Nebuchadnezzar’s 605 BC campaign against Egypt at Carchemish, his accession to the Babylonian throne, western campaigning, and the 597 BC capture of Jerusalem and its king. Standard editions include A. K. Grayson, Assyrian and Babylonian Chronicles, and Jean-Jacques Glassner, Mesopotamian Chronicles.</w:t>
      </w:r>
    </w:p>
    <w:p w14:paraId="08B617BE" w14:textId="77777777" w:rsidR="00B409CA" w:rsidRDefault="00000000">
      <w:pPr>
        <w:ind w:left="259" w:hanging="259"/>
      </w:pPr>
      <w:r>
        <w:rPr>
          <w:b/>
        </w:rPr>
        <w:t xml:space="preserve">• Babylonian Chronicle ABC 3 (Fall of Nineveh Chronicle). </w:t>
      </w:r>
      <w:r>
        <w:t>Documents the collapse of Assyrian power and the Babylonian campaigns that form the international background to Josiah’s death and the later Babylonian-Egyptian struggle.</w:t>
      </w:r>
    </w:p>
    <w:p w14:paraId="4CB990F1" w14:textId="77777777" w:rsidR="00B409CA" w:rsidRDefault="00000000">
      <w:pPr>
        <w:ind w:left="259" w:hanging="259"/>
      </w:pPr>
      <w:r>
        <w:rPr>
          <w:b/>
        </w:rPr>
        <w:t xml:space="preserve">• Nebuchadnezzar II royal bricks and building inscriptions. </w:t>
      </w:r>
      <w:r>
        <w:t>Surviving cuneiform inscriptions identify Nebuchadnezzar as king of Babylon and son of Nabopolassar and document his extensive building and temple-restoration activity, illuminating the monumental imperial world into which Daniel was taken.</w:t>
      </w:r>
    </w:p>
    <w:p w14:paraId="05FA3AE1" w14:textId="77777777" w:rsidR="00B409CA" w:rsidRDefault="00000000">
      <w:pPr>
        <w:ind w:left="259" w:hanging="259"/>
      </w:pPr>
      <w:r>
        <w:rPr>
          <w:b/>
        </w:rPr>
        <w:t xml:space="preserve">• Neo-Babylonian administrative tablets. </w:t>
      </w:r>
      <w:r>
        <w:t>Administrative records preserve the names, titles, ration systems, and bureaucratic structures of the period. Such materials illuminate the kind of royal-administrative environment assumed by Daniel without serving as direct proof of every event in Daniel 1.</w:t>
      </w:r>
    </w:p>
    <w:p w14:paraId="6BB18E98" w14:textId="77777777" w:rsidR="00B409CA" w:rsidRDefault="00000000">
      <w:pPr>
        <w:ind w:left="259" w:hanging="259"/>
      </w:pPr>
      <w:r>
        <w:rPr>
          <w:b/>
        </w:rPr>
        <w:t xml:space="preserve">• The Nabu-sharrussu-ukin tablet (BM 114789). </w:t>
      </w:r>
      <w:r>
        <w:t>A Neo-Babylonian administrative text associated by the British Museum with a high official named in Jeremiah 39, illustrating the historical texture of Babylonian names and court offices reflected in the biblical material.</w:t>
      </w:r>
    </w:p>
    <w:p w14:paraId="15B85AA7" w14:textId="77777777" w:rsidR="00B409CA" w:rsidRDefault="00000000">
      <w:pPr>
        <w:pStyle w:val="Heading2"/>
      </w:pPr>
      <w:r>
        <w:t>Historical Method Note</w:t>
      </w:r>
    </w:p>
    <w:p w14:paraId="5C7A6ED7" w14:textId="77777777" w:rsidR="00B409CA" w:rsidRDefault="00000000">
      <w:r>
        <w:t>Extrabiblical evidence should be allowed to say exactly what it says—no more and no less. The Babylonian Chronicles independently establish the major geopolitical transition from Assyria and Egypt to Babylon, Nebuchadnezzar’s victory at Carchemish, his accession, and his later 597 BC capture of Jerusalem. They do not explicitly record Daniel by name or the specific 605 BC deportation described in Daniel 1. Scripture remains the primary source for those details. The value of the external evidence is that it places the biblical narrative within a demonstrably authentic Neo-Babylonian historical world and often illuminates the political and cultural mechanisms assumed by the text.</w:t>
      </w:r>
    </w:p>
    <w:p w14:paraId="5FFB1475" w14:textId="77777777" w:rsidR="00B409CA" w:rsidRDefault="00000000">
      <w:pPr>
        <w:pStyle w:val="Heading1"/>
      </w:pPr>
      <w:r>
        <w:t>Closing Perspective</w:t>
      </w:r>
    </w:p>
    <w:p w14:paraId="3E4CAAFD" w14:textId="77777777" w:rsidR="00B409CA" w:rsidRDefault="00000000">
      <w:r>
        <w:t>Daniel 1 begins with what looks like the triumph of Babylon and ends by quietly announcing Babylon’s mortality. Between those two points, the narrator teaches the reader how to see history. Judah’s judgment is real, Babylon’s power is real, cultural pressure is real, and Daniel’s choices are real; nevertheless, none of those realities is ultimate. The Lord gives kingdoms into human hands, gives favor in hostile places, gives wisdom to His servants, and preserves His purposes beyond the lifespan of empires.</w:t>
      </w:r>
    </w:p>
    <w:p w14:paraId="1E4887A0" w14:textId="77777777" w:rsidR="00B409CA" w:rsidRDefault="00000000">
      <w:r>
        <w:t>For the believer, the chapter therefore offers neither an escape from culture nor permission to be absorbed by it. It offers a theology of faithful presence. Learn what can be learned. Serve where service is honorable. Treat authorities with wisdom and respect. Know the boundaries established by allegiance to God. And never confuse the apparent permanence of Babylon with the permanence of the kingdom of God.</w:t>
      </w:r>
    </w:p>
    <w:sectPr w:rsidR="00B409CA"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515F5" w14:textId="77777777" w:rsidR="00E022D2" w:rsidRDefault="00E022D2">
      <w:pPr>
        <w:spacing w:after="0" w:line="240" w:lineRule="auto"/>
      </w:pPr>
      <w:r>
        <w:separator/>
      </w:r>
    </w:p>
  </w:endnote>
  <w:endnote w:type="continuationSeparator" w:id="0">
    <w:p w14:paraId="08C37554" w14:textId="77777777" w:rsidR="00E022D2" w:rsidRDefault="00E02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C4172" w14:textId="77777777" w:rsidR="00B409CA" w:rsidRDefault="00000000">
    <w:pPr>
      <w:pStyle w:val="Footer"/>
      <w:jc w:val="center"/>
    </w:pPr>
    <w:r>
      <w:rPr>
        <w:sz w:val="16"/>
      </w:rPr>
      <w:t xml:space="preserve">David V. Lott, Ph.D.   •   </w:t>
    </w:r>
    <w:r>
      <w:fldChar w:fldCharType="begin"/>
    </w:r>
    <w:r>
      <w:instrText>PAGE</w:instrText>
    </w:r>
    <w:r>
      <w:fldChar w:fldCharType="separate"/>
    </w:r>
    <w:r w:rsidR="004F122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D1161" w14:textId="77777777" w:rsidR="00E022D2" w:rsidRDefault="00E022D2">
      <w:pPr>
        <w:spacing w:after="0" w:line="240" w:lineRule="auto"/>
      </w:pPr>
      <w:r>
        <w:separator/>
      </w:r>
    </w:p>
  </w:footnote>
  <w:footnote w:type="continuationSeparator" w:id="0">
    <w:p w14:paraId="2CD07826" w14:textId="77777777" w:rsidR="00E022D2" w:rsidRDefault="00E02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CABAC" w14:textId="77777777" w:rsidR="00B409CA" w:rsidRDefault="00000000">
    <w:pPr>
      <w:pStyle w:val="Header"/>
      <w:jc w:val="right"/>
    </w:pPr>
    <w:r>
      <w:rPr>
        <w:b/>
        <w:sz w:val="16"/>
      </w:rPr>
      <w:t>EXPOSITIONAL STUDIES • DANIEL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46837699">
    <w:abstractNumId w:val="8"/>
  </w:num>
  <w:num w:numId="2" w16cid:durableId="575474809">
    <w:abstractNumId w:val="6"/>
  </w:num>
  <w:num w:numId="3" w16cid:durableId="219631980">
    <w:abstractNumId w:val="5"/>
  </w:num>
  <w:num w:numId="4" w16cid:durableId="1769692384">
    <w:abstractNumId w:val="4"/>
  </w:num>
  <w:num w:numId="5" w16cid:durableId="811098797">
    <w:abstractNumId w:val="7"/>
  </w:num>
  <w:num w:numId="6" w16cid:durableId="338583647">
    <w:abstractNumId w:val="3"/>
  </w:num>
  <w:num w:numId="7" w16cid:durableId="374739354">
    <w:abstractNumId w:val="2"/>
  </w:num>
  <w:num w:numId="8" w16cid:durableId="164563356">
    <w:abstractNumId w:val="1"/>
  </w:num>
  <w:num w:numId="9" w16cid:durableId="83869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F1222"/>
    <w:rsid w:val="00AA1D8D"/>
    <w:rsid w:val="00B409CA"/>
    <w:rsid w:val="00B47730"/>
    <w:rsid w:val="00CB0664"/>
    <w:rsid w:val="00CB7F9A"/>
    <w:rsid w:val="00E022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77B95A"/>
  <w14:defaultImageDpi w14:val="300"/>
  <w15:docId w15:val="{35B49718-CEC9-4706-97E0-4745F7374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5968</Words>
  <Characters>34022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39911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2026-10-04T17:09:00Z</dcterms:created>
  <dcterms:modified xsi:type="dcterms:W3CDTF">2026-10-04T17:09:00Z</dcterms:modified>
  <cp:category/>
</cp:coreProperties>
</file>