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594FD" w14:textId="77777777" w:rsidR="00E147D6" w:rsidRDefault="00000000">
      <w:pPr>
        <w:spacing w:before="1280"/>
        <w:jc w:val="center"/>
      </w:pPr>
      <w:r>
        <w:rPr>
          <w:b/>
          <w:sz w:val="60"/>
        </w:rPr>
        <w:t>DANIEL 11</w:t>
      </w:r>
    </w:p>
    <w:p w14:paraId="5E318307" w14:textId="77777777" w:rsidR="00E147D6" w:rsidRDefault="00000000">
      <w:pPr>
        <w:jc w:val="center"/>
      </w:pPr>
      <w:r>
        <w:rPr>
          <w:b/>
          <w:sz w:val="36"/>
        </w:rPr>
        <w:t>Kings of the North and South</w:t>
      </w:r>
    </w:p>
    <w:p w14:paraId="2C7C9609" w14:textId="77777777" w:rsidR="00E147D6" w:rsidRDefault="00000000">
      <w:pPr>
        <w:jc w:val="center"/>
      </w:pPr>
      <w:r>
        <w:rPr>
          <w:i/>
          <w:sz w:val="23"/>
        </w:rPr>
        <w:t>Persia, Greece, Antiochus IV, and the Question of the Final King</w:t>
      </w:r>
    </w:p>
    <w:p w14:paraId="42949FBA" w14:textId="77777777" w:rsidR="00E147D6" w:rsidRDefault="00E147D6"/>
    <w:tbl>
      <w:tblPr>
        <w:tblW w:w="0" w:type="auto"/>
        <w:jc w:val="center"/>
        <w:tblLook w:val="04A0" w:firstRow="1" w:lastRow="0" w:firstColumn="1" w:lastColumn="0" w:noHBand="0" w:noVBand="1"/>
      </w:tblPr>
      <w:tblGrid>
        <w:gridCol w:w="9878"/>
      </w:tblGrid>
      <w:tr w:rsidR="00E147D6" w14:paraId="1A5DE21C" w14:textId="77777777">
        <w:trPr>
          <w:jc w:val="center"/>
        </w:trPr>
        <w:tc>
          <w:tcPr>
            <w:tcW w:w="9878" w:type="dxa"/>
            <w:shd w:val="clear" w:color="auto" w:fill="EDEDED"/>
          </w:tcPr>
          <w:p w14:paraId="5AC06ED9" w14:textId="77777777" w:rsidR="00E147D6" w:rsidRDefault="00000000">
            <w:r>
              <w:rPr>
                <w:b/>
                <w:sz w:val="22"/>
              </w:rPr>
              <w:t>Interpretive Method</w:t>
            </w:r>
          </w:p>
          <w:p w14:paraId="2369513A" w14:textId="77777777" w:rsidR="00E147D6" w:rsidRDefault="00000000">
            <w:r>
              <w:t>Respect the words. Understand their world. Establish what the text meant there. Then ask how its truth speaks here.</w:t>
            </w:r>
          </w:p>
        </w:tc>
      </w:tr>
    </w:tbl>
    <w:p w14:paraId="1EB7FCF4" w14:textId="77777777" w:rsidR="00E147D6" w:rsidRDefault="00E147D6"/>
    <w:p w14:paraId="136FD9A3" w14:textId="77777777" w:rsidR="00E147D6" w:rsidRDefault="00000000">
      <w:pPr>
        <w:spacing w:before="760"/>
        <w:jc w:val="center"/>
      </w:pPr>
      <w:r>
        <w:rPr>
          <w:b/>
          <w:sz w:val="26"/>
        </w:rPr>
        <w:t>David V. Lott, Ph.D.</w:t>
      </w:r>
    </w:p>
    <w:p w14:paraId="44FCF025" w14:textId="77777777" w:rsidR="00E147D6" w:rsidRDefault="00000000">
      <w:r>
        <w:br w:type="page"/>
      </w:r>
    </w:p>
    <w:p w14:paraId="3695A28B" w14:textId="77777777" w:rsidR="00E147D6" w:rsidRDefault="00000000">
      <w:pPr>
        <w:pStyle w:val="Heading1"/>
      </w:pPr>
      <w:r>
        <w:lastRenderedPageBreak/>
        <w:t>Purpose and Expositional Thesis</w:t>
      </w:r>
    </w:p>
    <w:p w14:paraId="258985F0" w14:textId="77777777" w:rsidR="00E147D6" w:rsidRDefault="00000000">
      <w:r>
        <w:t>Daniel 11 is one of the most historically detailed prophetic passages in Scripture. What appears at first to be an almost bewildering succession of unnamed kings becomes much clearer once the reader understands the political world created by Alexander the Great’s death. The chapter traces the movement from Persia to Greece, then concentrates upon the prolonged rivalry between the Seleucid kingdom to the north of Judea and the Ptolemaic kingdom to the south. Because Judea lay between those two powers, the covenant people repeatedly found themselves caught in the corridor through which larger empires fought one another.</w:t>
      </w:r>
    </w:p>
    <w:p w14:paraId="27E4210E" w14:textId="77777777" w:rsidR="00E147D6" w:rsidRDefault="00000000">
      <w:r>
        <w:t>The historical detail is not incidental. Daniel 11 demonstrates that biblical prophecy is concerned with actual rulers, wars, alliances, marriages, betrayals, taxes, military campaigns, and religious persecution. Yet the chapter is not merely an advance political chronicle. Its theological concern becomes clearest when imperial ambition reaches the sanctuary, interferes with worship, persecutes those who remain faithful to the covenant, and exalts itself against God.</w:t>
      </w:r>
    </w:p>
    <w:p w14:paraId="75D4D9E5" w14:textId="77777777" w:rsidR="00E147D6" w:rsidRDefault="00000000">
      <w:r>
        <w:t>The most difficult interpretive question arises near the end of the chapter. Daniel 11:2–35 corresponds with Persian and Hellenistic history with remarkable specificity, culminating in the persecution under Antiochus IV Epiphanes. Beginning especially in verses 36–45, interpreters disagree over whether the text continues describing Antiochus, idealizes his final actions, shifts to a future eschatological ruler, or allows the historical Antiochus to become the prototype through whom a final anti-God king is portrayed. We will not conceal that debate. Instead, we will identify the historical anchors first and then ask where the text itself appears to broaden the horizon.</w:t>
      </w:r>
    </w:p>
    <w:tbl>
      <w:tblPr>
        <w:tblW w:w="0" w:type="auto"/>
        <w:jc w:val="center"/>
        <w:tblLook w:val="04A0" w:firstRow="1" w:lastRow="0" w:firstColumn="1" w:lastColumn="0" w:noHBand="0" w:noVBand="1"/>
      </w:tblPr>
      <w:tblGrid>
        <w:gridCol w:w="9878"/>
      </w:tblGrid>
      <w:tr w:rsidR="00E147D6" w14:paraId="1179F79F" w14:textId="77777777">
        <w:trPr>
          <w:jc w:val="center"/>
        </w:trPr>
        <w:tc>
          <w:tcPr>
            <w:tcW w:w="9878" w:type="dxa"/>
            <w:shd w:val="clear" w:color="auto" w:fill="EDEDED"/>
          </w:tcPr>
          <w:p w14:paraId="01B80ECC" w14:textId="77777777" w:rsidR="00E147D6" w:rsidRDefault="00000000">
            <w:r>
              <w:rPr>
                <w:b/>
                <w:sz w:val="22"/>
              </w:rPr>
              <w:t>Expositional Thesis</w:t>
            </w:r>
          </w:p>
          <w:p w14:paraId="0D1C4B1B" w14:textId="77777777" w:rsidR="00E147D6" w:rsidRDefault="00000000">
            <w:r>
              <w:t>Daniel 11 reveals that God’s sovereignty extends into the intricate movements of political history, yet the chapter’s deepest concern is not which empire wins a battle. The decisive issue is what happens when political power becomes sacrilegious power—when a ruler attacks covenant faithfulness, suppresses worship, deceives through flattery, and magnifies himself against God. The faithful are therefore called not merely to survive history, but to know their God and remain faithful within it.</w:t>
            </w:r>
          </w:p>
        </w:tc>
      </w:tr>
    </w:tbl>
    <w:p w14:paraId="0F1D4AB3" w14:textId="77777777" w:rsidR="00E147D6" w:rsidRDefault="00E147D6"/>
    <w:p w14:paraId="71C7653E" w14:textId="77777777" w:rsidR="00E147D6" w:rsidRDefault="00000000">
      <w:pPr>
        <w:pStyle w:val="Heading1"/>
      </w:pPr>
      <w:r>
        <w:t>I. Literary Setting: Daniel 11 Continues the Revelation of Chapter 10</w:t>
      </w:r>
    </w:p>
    <w:p w14:paraId="0983E42A" w14:textId="77777777" w:rsidR="00E147D6" w:rsidRDefault="00000000">
      <w:r>
        <w:t>The chapter division between Daniel 10 and 11 can obscure the flow of the narrative. The heavenly messenger who spoke in Daniel 10 continues speaking without interruption. Daniel 10 prepared the reader to see that the political conflicts about to be described possess an unseen spiritual dimension. Daniel 11 now turns from the spiritual conflict involving the princes of Persia and Greece to the visible history of Persian and Greek rulers.</w:t>
      </w:r>
    </w:p>
    <w:p w14:paraId="23D4D908" w14:textId="77777777" w:rsidR="00E147D6" w:rsidRDefault="00000000">
      <w:r>
        <w:t>This relationship is crucial. Chapter 10 prevents us from reading chapter 11 as merely secular history. Chapter 11 prevents us from reading chapter 10 as an invitation to speculate about invisible beings while ignoring the concrete historical world. Daniel holds both together: spiritual conflict and political history are distinct, yet related.</w:t>
      </w:r>
    </w:p>
    <w:p w14:paraId="3796BD1B" w14:textId="77777777" w:rsidR="00E147D6" w:rsidRDefault="00000000">
      <w:r>
        <w:t>Daniel 11 also belongs to the final revelation extending through chapter 12. The messenger’s historical survey will eventually move toward a time of unparalleled distress, Michael’s intervention, resurrection, and final reward (Daniel 12:1–3). The historical conflicts of chapter 11 therefore form the road toward the book’s final eschatological horizon.</w:t>
      </w:r>
    </w:p>
    <w:p w14:paraId="2CE18D4D" w14:textId="77777777" w:rsidR="00E147D6" w:rsidRDefault="00000000">
      <w:pPr>
        <w:pStyle w:val="Heading1"/>
      </w:pPr>
      <w:r>
        <w:lastRenderedPageBreak/>
        <w:t>II. Daniel 11:1–2 — Persia and the Coming Greek Challenge</w:t>
      </w:r>
    </w:p>
    <w:p w14:paraId="63F68A4D" w14:textId="77777777" w:rsidR="00E147D6" w:rsidRDefault="00000000">
      <w:pPr>
        <w:pStyle w:val="Heading2"/>
      </w:pPr>
      <w:r>
        <w:t>The Messenger and Darius the Mede</w:t>
      </w:r>
    </w:p>
    <w:p w14:paraId="0424A92F" w14:textId="77777777" w:rsidR="00E147D6" w:rsidRDefault="00000000">
      <w:r>
        <w:t>Daniel 11:1 completes the messenger’s comment from chapter 10: “In the first year of Darius the Mede, I arose to be an encouragement and a protection for him.” The antecedent of “him” has been debated, but the statement most naturally describes the messenger’s support within the transition from Babylonian to Medo-Persian rule. Once again, Daniel’s earthly political history is presented alongside heavenly activity.</w:t>
      </w:r>
    </w:p>
    <w:p w14:paraId="0D7B1132" w14:textId="77777777" w:rsidR="00E147D6" w:rsidRDefault="00000000">
      <w:r>
        <w:t>The verse does not tell us enough to reconstruct how angelic support relates to royal decisions. It simply reinforces the chapter 10 principle that earthly political transitions occur within a larger spiritual reality.</w:t>
      </w:r>
    </w:p>
    <w:p w14:paraId="454F6994" w14:textId="77777777" w:rsidR="00E147D6" w:rsidRDefault="00000000">
      <w:pPr>
        <w:pStyle w:val="Heading2"/>
      </w:pPr>
      <w:r>
        <w:t>Three More Kings and a Fourth</w:t>
      </w:r>
    </w:p>
    <w:p w14:paraId="1292385F" w14:textId="77777777" w:rsidR="00E147D6" w:rsidRDefault="00000000">
      <w:r>
        <w:t>The messenger tells Daniel, “three more kings are going to arise in Persia. Then a fourth will gain far more riches than all of them; as soon as he becomes strong through his riches, he will arouse the whole empire against the realm of Greece” (Daniel 11:2).</w:t>
      </w:r>
    </w:p>
    <w:p w14:paraId="0E8953AE" w14:textId="77777777" w:rsidR="00E147D6" w:rsidRDefault="00000000">
      <w:r>
        <w:t>The precise counting of Persian kings depends upon where the sequence begins and whether certain brief or disputed reigns are included. A common identification after Cyrus is Cambyses II, followed by Gaumata or the ruler remembered by Greek sources as Smerdis, then Darius I, with Xerxes I as the wealthy fourth king. Xerxes fits the description particularly well because his massive invasion of Greece in 480 BC became one of the defining encounters between Persia and the Greek world.</w:t>
      </w:r>
    </w:p>
    <w:p w14:paraId="455BF268" w14:textId="77777777" w:rsidR="00E147D6" w:rsidRDefault="00000000">
      <w:r>
        <w:t>Herodotus gives an extensive account of Xerxes’ preparations and invasion, including the extraordinary resources assembled for the campaign. His numerical estimates are often regarded as exaggerated by modern historians, but the scale of the Persian mobilization is beyond dispute.</w:t>
      </w:r>
    </w:p>
    <w:p w14:paraId="736F6276" w14:textId="77777777" w:rsidR="00E147D6" w:rsidRDefault="00000000">
      <w:r>
        <w:t>Daniel’s purpose is not to list every Persian monarch. The prophecy rapidly moves toward the conflict with Greece because Greece will become the next major empire in the prophetic sequence already established in Daniel 8.</w:t>
      </w:r>
    </w:p>
    <w:p w14:paraId="13212B2D" w14:textId="77777777" w:rsidR="00E147D6" w:rsidRDefault="00000000">
      <w:pPr>
        <w:pStyle w:val="Heading1"/>
      </w:pPr>
      <w:r>
        <w:t>III. Daniel 11:3–4 — Alexander and the Shattered Empire</w:t>
      </w:r>
    </w:p>
    <w:p w14:paraId="7A821CCF" w14:textId="77777777" w:rsidR="00E147D6" w:rsidRDefault="00000000">
      <w:r>
        <w:t>A “mighty king” then arises who rules with great authority and does as he pleases (Daniel 11:3). In light of Daniel 8:21, where the great horn of the Greek goat is explicitly identified as the first king of Greece, the figure is naturally Alexander the Great.</w:t>
      </w:r>
    </w:p>
    <w:p w14:paraId="6C982BA1" w14:textId="77777777" w:rsidR="00E147D6" w:rsidRDefault="00000000">
      <w:r>
        <w:t>Yet the prophecy immediately announces the fragility of his achievement: “as soon as he has arisen, his kingdom will be broken up and parceled out toward the four points of the compass, though not to his own descendants” (Daniel 11:4). Alexander died in Babylon in 323 BC without an adult heir capable of preserving his empire. His half-brother Philip III Arrhidaeus and his posthumous son Alexander IV became nominal kings but were eventually killed.</w:t>
      </w:r>
    </w:p>
    <w:p w14:paraId="24CEB833" w14:textId="77777777" w:rsidR="00E147D6" w:rsidRDefault="00000000">
      <w:r>
        <w:t>The empire passed through decades of warfare among Alexander’s generals, the Diadochi. As we emphasized in Daniel 8, the fragmentation should not be reduced to the impression that Alexander died and four perfectly defined kingdoms appeared the next morning. The political process was prolonged and unstable. Nevertheless, four major Hellenistic spheres eventually emerged, and Daniel 11 now concentrates upon two of them: the Ptolemaic kingdom of Egypt and the Seleucid kingdom centered in Syria and the eastern territories.</w:t>
      </w:r>
    </w:p>
    <w:tbl>
      <w:tblPr>
        <w:tblW w:w="0" w:type="auto"/>
        <w:jc w:val="center"/>
        <w:tblLook w:val="04A0" w:firstRow="1" w:lastRow="0" w:firstColumn="1" w:lastColumn="0" w:noHBand="0" w:noVBand="1"/>
      </w:tblPr>
      <w:tblGrid>
        <w:gridCol w:w="9878"/>
      </w:tblGrid>
      <w:tr w:rsidR="00E147D6" w14:paraId="035357AD" w14:textId="77777777">
        <w:trPr>
          <w:jc w:val="center"/>
        </w:trPr>
        <w:tc>
          <w:tcPr>
            <w:tcW w:w="9878" w:type="dxa"/>
            <w:shd w:val="clear" w:color="auto" w:fill="EDEDED"/>
          </w:tcPr>
          <w:p w14:paraId="297D47FB" w14:textId="77777777" w:rsidR="00E147D6" w:rsidRDefault="00000000">
            <w:r>
              <w:rPr>
                <w:b/>
                <w:sz w:val="22"/>
              </w:rPr>
              <w:t>Geographic Key</w:t>
            </w:r>
          </w:p>
          <w:p w14:paraId="463F3EA7" w14:textId="77777777" w:rsidR="00E147D6" w:rsidRDefault="00000000">
            <w:r>
              <w:t xml:space="preserve">The terms “king of the North” and “king of the South” are oriented from the perspective of the land of Israel. The Seleucid realm lay predominantly north of Judea; Ptolemaic Egypt lay to the south. Judea stood </w:t>
            </w:r>
            <w:r>
              <w:lastRenderedPageBreak/>
              <w:t>between them.</w:t>
            </w:r>
          </w:p>
        </w:tc>
      </w:tr>
    </w:tbl>
    <w:p w14:paraId="2F573482" w14:textId="77777777" w:rsidR="00E147D6" w:rsidRDefault="00E147D6"/>
    <w:p w14:paraId="3F861C98" w14:textId="77777777" w:rsidR="00E147D6" w:rsidRDefault="00000000">
      <w:pPr>
        <w:pStyle w:val="Heading1"/>
      </w:pPr>
      <w:r>
        <w:t>IV. Daniel 11:5–6 — Ptolemy I, Seleucus I, and a Failed Marriage Alliance</w:t>
      </w:r>
    </w:p>
    <w:p w14:paraId="1703DAFF" w14:textId="77777777" w:rsidR="00E147D6" w:rsidRDefault="00000000">
      <w:pPr>
        <w:pStyle w:val="Heading2"/>
      </w:pPr>
      <w:r>
        <w:t>The King of the South Becomes Strong</w:t>
      </w:r>
    </w:p>
    <w:p w14:paraId="09F53212" w14:textId="77777777" w:rsidR="00E147D6" w:rsidRDefault="00000000">
      <w:r>
        <w:t>Daniel 11:5 says that the king of the South will become strong, but one of his princes will become stronger and obtain an extensive dominion. The historical correspondence is compelling. Ptolemy I Soter established himself in Egypt after Alexander’s death. Seleucus I Nicator initially served within the post-Alexander political order, lost control of Babylon, found refuge with Ptolemy, and later returned east to establish a vast Seleucid realm.</w:t>
      </w:r>
    </w:p>
    <w:p w14:paraId="1E8E9051" w14:textId="77777777" w:rsidR="00E147D6" w:rsidRDefault="00000000">
      <w:r>
        <w:t>Seleucus ultimately controlled a territory considerably larger than Ptolemy’s Egyptian kingdom. The prophecy’s movement from a strong southern king to a former subordinate whose dominion becomes even greater corresponds naturally with that history.</w:t>
      </w:r>
    </w:p>
    <w:p w14:paraId="5E433A9B" w14:textId="77777777" w:rsidR="00E147D6" w:rsidRDefault="00000000">
      <w:pPr>
        <w:pStyle w:val="Heading2"/>
      </w:pPr>
      <w:r>
        <w:t>Berenice and Antiochus II</w:t>
      </w:r>
    </w:p>
    <w:p w14:paraId="542C3B94" w14:textId="77777777" w:rsidR="00E147D6" w:rsidRDefault="00000000">
      <w:r>
        <w:t>After some years, the two kingdoms attempt reconciliation through dynastic marriage. Daniel says that “the daughter of the king of the South will come to the king of the North to carry out a peaceful arrangement,” but the arrangement will fail and she will not retain her position of power (Daniel 11:6).</w:t>
      </w:r>
    </w:p>
    <w:p w14:paraId="3FF66C7D" w14:textId="77777777" w:rsidR="00E147D6" w:rsidRDefault="00000000">
      <w:r>
        <w:t>Around 252 BC, Ptolemy II Philadelphus arranged for his daughter Berenice to marry the Seleucid king Antiochus II Theos. Antiochus set aside his earlier wife Laodice and apparently excluded her sons from succession. When Ptolemy II died, Antiochus restored Laodice. Ancient sources preserve traditions that Laodice then engineered Antiochus’s death and the deaths of Berenice and her young son, securing the throne for her own son Seleucus II Callinicus.</w:t>
      </w:r>
    </w:p>
    <w:p w14:paraId="6BACDB70" w14:textId="77777777" w:rsidR="00E147D6" w:rsidRDefault="00000000">
      <w:r>
        <w:t>The marriage had been designed to stabilize international politics. Instead, it intensified dynastic violence. Daniel’s larger theological portrait of empire continues: rulers attempt to secure history through marriage, wealth, military force, and intrigue, but their arrangements remain fragile.</w:t>
      </w:r>
    </w:p>
    <w:p w14:paraId="616B4455" w14:textId="77777777" w:rsidR="00E147D6" w:rsidRDefault="00000000">
      <w:pPr>
        <w:pStyle w:val="Heading1"/>
      </w:pPr>
      <w:r>
        <w:t>V. Daniel 11:7–9 — Ptolemy III Avenges Berenice</w:t>
      </w:r>
    </w:p>
    <w:p w14:paraId="6B295967" w14:textId="77777777" w:rsidR="00E147D6" w:rsidRDefault="00000000">
      <w:r>
        <w:t>Daniel says that one from Berenice’s family line will arise, attack the northern kingdom, enter its fortress, and prevail (Daniel 11:7). Berenice’s brother Ptolemy III Euergetes invaded Seleucid territory after her murder in what is commonly called the Third Syrian War, beginning in 246 BC.</w:t>
      </w:r>
    </w:p>
    <w:p w14:paraId="2C57AD2B" w14:textId="77777777" w:rsidR="00E147D6" w:rsidRDefault="00000000">
      <w:r>
        <w:t>Verse 8 says that the southern king will carry captive to Egypt their gods, metal images, and precious vessels of silver and gold. Ancient accounts associate Ptolemy III’s campaign with the return to Egypt of cult images and treasures that had previously been taken by Persian forces, although the details preserved in later sources require critical evaluation.</w:t>
      </w:r>
    </w:p>
    <w:p w14:paraId="3A9B2210" w14:textId="77777777" w:rsidR="00E147D6" w:rsidRDefault="00000000">
      <w:r>
        <w:t>Seleucus II later attempted an invasion or counterattack against Egypt but returned unsuccessful (Daniel 11:9). The prophecy compresses years of warfare into a few sentences because its purpose is not exhaustive military history. It selects those events necessary to trace the rivalry that increasingly affects Judea.</w:t>
      </w:r>
    </w:p>
    <w:p w14:paraId="6C7698AD" w14:textId="77777777" w:rsidR="00E147D6" w:rsidRDefault="00000000">
      <w:pPr>
        <w:pStyle w:val="Heading1"/>
      </w:pPr>
      <w:r>
        <w:lastRenderedPageBreak/>
        <w:t>VI. Daniel 11:10–13 — Antiochus III and the Renewed Northern Offensive</w:t>
      </w:r>
    </w:p>
    <w:p w14:paraId="1CCC0F06" w14:textId="77777777" w:rsidR="00E147D6" w:rsidRDefault="00000000">
      <w:r>
        <w:t>The sons of the northern king mobilize large forces, and one of them advances like an overflowing flood (Daniel 11:10). Seleucus III Ceraunus reigned briefly, but his brother Antiochus III—later called Antiochus the Great—became the dominant Seleucid ruler and launched repeated campaigns against Ptolemaic territory.</w:t>
      </w:r>
    </w:p>
    <w:p w14:paraId="5B691B7D" w14:textId="77777777" w:rsidR="00E147D6" w:rsidRDefault="00000000">
      <w:r>
        <w:t>Ptolemy IV Philopator confronted Antiochus III at the Battle of Raphia in 217 BC. Daniel 11:11 describes the southern king becoming enraged, marching out, and defeating a large northern army. The historical battle ended in a significant Ptolemaic victory.</w:t>
      </w:r>
    </w:p>
    <w:p w14:paraId="6A508118" w14:textId="77777777" w:rsidR="00E147D6" w:rsidRDefault="00000000">
      <w:r>
        <w:t>Yet verse 12 warns that victory produces pride rather than lasting security. Ptolemy’s success did not permanently resolve the struggle. After Ptolemy IV’s death and the accession of the child Ptolemy V, Antiochus III renewed his expansion. Daniel 11:13 describes the northern king returning after an interval with an even larger force.</w:t>
      </w:r>
    </w:p>
    <w:p w14:paraId="2D756B22" w14:textId="77777777" w:rsidR="00E147D6" w:rsidRDefault="00000000">
      <w:r>
        <w:t>The chapter repeatedly dismantles the illusion of permanent political victory. Every triumph is temporary. The king who appears dominant in one verse is vulnerable in the next.</w:t>
      </w:r>
    </w:p>
    <w:p w14:paraId="0C9BC308" w14:textId="77777777" w:rsidR="00E147D6" w:rsidRDefault="00000000">
      <w:pPr>
        <w:pStyle w:val="Heading1"/>
      </w:pPr>
      <w:r>
        <w:t>VII. Daniel 11:14–16 — Judea Becomes the Battlefield</w:t>
      </w:r>
    </w:p>
    <w:p w14:paraId="4E95CEEA" w14:textId="77777777" w:rsidR="00E147D6" w:rsidRDefault="00000000">
      <w:r>
        <w:t>Daniel 11:14 says that many will rise against the king of the South and that “the violent ones among your people” will also lift themselves up in fulfillment of the vision, but they will fall. The Hebrew expression בְּנֵי פָרִיצֵי עַמְּךָ (bĕnê pārîṣê ʿammĕkā) can describe violent or lawless persons among Daniel’s people.</w:t>
      </w:r>
    </w:p>
    <w:p w14:paraId="642FCC02" w14:textId="77777777" w:rsidR="00E147D6" w:rsidRDefault="00000000">
      <w:r>
        <w:t>The verse suggests that some Jews became entangled in the political struggle, perhaps supporting Seleucid power against Ptolemaic control in hopes of improving Judea’s circumstances. The historical details are not sufficiently secure to identify every group with confidence, but the theological point is important: the covenant community was not politically monolithic.</w:t>
      </w:r>
    </w:p>
    <w:p w14:paraId="18B2633D" w14:textId="77777777" w:rsidR="00E147D6" w:rsidRDefault="00000000">
      <w:r>
        <w:t>Antiochus III eventually defeated Ptolemaic forces and gained control of Coele-Syria and Judea. Daniel 11:16 says that the northern conqueror will stand in “the Beautiful Land,” with destruction or completion in his hand. Judea has now moved from being a territory between empires to being directly absorbed into Seleucid power.</w:t>
      </w:r>
    </w:p>
    <w:p w14:paraId="0E95CDF7" w14:textId="77777777" w:rsidR="00E147D6" w:rsidRDefault="00000000">
      <w:r>
        <w:t>This geographical reality explains much of Daniel 11. The land promised to Israel sat on the strategic corridor linking Egypt with Syria and Mesopotamia. Great powers did not fight over Judea because it was militarily equal to them; they fought through Judea because of where it was located.</w:t>
      </w:r>
    </w:p>
    <w:p w14:paraId="240B360D" w14:textId="77777777" w:rsidR="00E147D6" w:rsidRDefault="00000000">
      <w:pPr>
        <w:pStyle w:val="Heading1"/>
      </w:pPr>
      <w:r>
        <w:t>VIII. Daniel 11:17–20 — Cleopatra I, Rome, and the Decline of Antiochus III</w:t>
      </w:r>
    </w:p>
    <w:p w14:paraId="5D2568D6" w14:textId="77777777" w:rsidR="00E147D6" w:rsidRDefault="00000000">
      <w:pPr>
        <w:pStyle w:val="Heading2"/>
      </w:pPr>
      <w:r>
        <w:t>A Daughter Given in Marriage</w:t>
      </w:r>
    </w:p>
    <w:p w14:paraId="7F33CAF5" w14:textId="77777777" w:rsidR="00E147D6" w:rsidRDefault="00000000">
      <w:r>
        <w:t>Antiochus III next seeks to consolidate his position through marriage. Daniel 11:17 describes him giving “the daughter of women” to the southern king in order to bring about ruin, but the plan will not succeed as intended.</w:t>
      </w:r>
    </w:p>
    <w:p w14:paraId="00FE0475" w14:textId="77777777" w:rsidR="00E147D6" w:rsidRDefault="00000000">
      <w:r>
        <w:t>The historical figure is generally identified as Cleopatra I, daughter of Antiochus III, who married Ptolemy V Epiphanes around 194/193 BC. Antiochus apparently expected the marriage to strengthen Seleucid influence over Egypt. Cleopatra, however, became aligned with the interests of her husband and the Ptolemaic kingdom rather than functioning simply as an instrument of her father.</w:t>
      </w:r>
    </w:p>
    <w:p w14:paraId="2BFD9BE7" w14:textId="77777777" w:rsidR="00E147D6" w:rsidRDefault="00000000">
      <w:r>
        <w:t>This is another example of Daniel’s recurring portrait of human strategy. Dynastic marriage is treated as an instrument of statecraft, but persons and events do not remain under the strategist’s control.</w:t>
      </w:r>
    </w:p>
    <w:p w14:paraId="3B52A484" w14:textId="77777777" w:rsidR="00E147D6" w:rsidRDefault="00000000">
      <w:pPr>
        <w:pStyle w:val="Heading2"/>
      </w:pPr>
      <w:r>
        <w:lastRenderedPageBreak/>
        <w:t>Antiochus III Meets Rome</w:t>
      </w:r>
    </w:p>
    <w:p w14:paraId="6C7E38C0" w14:textId="77777777" w:rsidR="00E147D6" w:rsidRDefault="00000000">
      <w:r>
        <w:t>Daniel 11:18 says that the northern king will turn toward the coastlands and capture many, but a commander will put an end to his scorn and turn that scorn back upon him. Antiochus III expanded into Asia Minor and became entangled with the rising power of Rome.</w:t>
      </w:r>
    </w:p>
    <w:p w14:paraId="41540959" w14:textId="77777777" w:rsidR="00E147D6" w:rsidRDefault="00000000">
      <w:r>
        <w:t>After supporting the cause of the exiled Carthaginian general Hannibal and challenging Roman interests, Antiochus was defeated by Roman forces, decisively at Magnesia in 190 BC. The Treaty of Apamea in 188 BC imposed severe territorial and financial penalties upon the Seleucid kingdom.</w:t>
      </w:r>
    </w:p>
    <w:p w14:paraId="4FF76EE0" w14:textId="77777777" w:rsidR="00E147D6" w:rsidRDefault="00000000">
      <w:r>
        <w:t>Antiochus then turned toward the fortresses of his own land and died in 187 BC while campaigning in the east, reportedly in connection with an attempt to obtain wealth from a temple. Daniel 11:19 summarizes his end without glory: “he will stumble and fall and be found no more.”</w:t>
      </w:r>
    </w:p>
    <w:p w14:paraId="62657585" w14:textId="77777777" w:rsidR="00E147D6" w:rsidRDefault="00000000">
      <w:pPr>
        <w:pStyle w:val="Heading2"/>
      </w:pPr>
      <w:r>
        <w:t>The Tax Collector: Seleucus IV</w:t>
      </w:r>
    </w:p>
    <w:p w14:paraId="695A499A" w14:textId="77777777" w:rsidR="00E147D6" w:rsidRDefault="00000000">
      <w:r>
        <w:t>Daniel 11:20 describes a successor who sends an oppressor or tax collector through the glory of the kingdom but is broken within a few days, though not in battle. This is commonly identified with Seleucus IV Philopator.</w:t>
      </w:r>
    </w:p>
    <w:p w14:paraId="47C6946D" w14:textId="77777777" w:rsidR="00E147D6" w:rsidRDefault="00000000">
      <w:r>
        <w:t>The enormous indemnity imposed by Rome after the Treaty of Apamea placed financial pressure upon the Seleucid state. Second Maccabees 3 preserves a dramatic account in which Seleucus’s official Heliodorus attempts to access funds associated with the Jerusalem Temple treasury. The narrative is highly theological in presentation, but it reflects the fiscal pressures of the period.</w:t>
      </w:r>
    </w:p>
    <w:p w14:paraId="283900A0" w14:textId="77777777" w:rsidR="00E147D6" w:rsidRDefault="00000000">
      <w:r>
        <w:t>Seleucus IV died in 175 BC, apparently through court intrigue involving Heliodorus. His death opened the way for the ruler who dominates the next portion of Daniel 11: Antiochus IV Epiphanes.</w:t>
      </w:r>
    </w:p>
    <w:p w14:paraId="2DD9CA99" w14:textId="77777777" w:rsidR="00E147D6" w:rsidRDefault="00000000">
      <w:pPr>
        <w:pStyle w:val="Heading1"/>
      </w:pPr>
      <w:r>
        <w:t>IX. Daniel 11:21–24 — The Despised Person: Antiochus IV Epiphanes</w:t>
      </w:r>
    </w:p>
    <w:p w14:paraId="173E2C92" w14:textId="77777777" w:rsidR="00E147D6" w:rsidRDefault="00000000">
      <w:r>
        <w:t>Daniel 11:21 introduces “a despicable person” to whom royal majesty had not been formally given, yet who obtains the kingdom through intrigue. The historical identification with Antiochus IV Epiphanes is exceptionally strong.</w:t>
      </w:r>
    </w:p>
    <w:p w14:paraId="4740A079" w14:textId="77777777" w:rsidR="00E147D6" w:rsidRDefault="00000000">
      <w:r>
        <w:t>Antiochus was a son of Antiochus III and had spent years as a hostage connected with the Roman settlement after Apamea. When Seleucus IV died, the legitimate heir Demetrius I was himself a hostage in Rome, while another young son of Seleucus remained vulnerable. Antiochus maneuvered successfully into power in 175 BC.</w:t>
      </w:r>
    </w:p>
    <w:p w14:paraId="15592E15" w14:textId="77777777" w:rsidR="00E147D6" w:rsidRDefault="00000000">
      <w:r>
        <w:t>The Hebrew נִבְזֶה (nibzeh) means despised, contemptible, or held in low regard. Daniel’s description is moral and theological rather than merely political. Antiochus becomes the chapter’s concentrated example of power obtained and exercised through manipulation.</w:t>
      </w:r>
    </w:p>
    <w:p w14:paraId="1949933A" w14:textId="77777777" w:rsidR="00E147D6" w:rsidRDefault="00000000">
      <w:r>
        <w:t>Verse 22 speaks of overwhelming forces being swept away before him and also refers to “the prince of the covenant.” Many interpreters connect this phrase with the removal and eventual murder of the legitimate high priest Onias III, who was displaced amid the corrupt struggles over the Jerusalem high priesthood. Second Maccabees 4 provides important background to those events.</w:t>
      </w:r>
    </w:p>
    <w:p w14:paraId="36A1E95E" w14:textId="77777777" w:rsidR="00E147D6" w:rsidRDefault="00000000">
      <w:r>
        <w:t>Antiochus uses alliances deceptively, rises with a relatively small group, distributes plunder strategically, and devises schemes against strongholds (Daniel 11:23–24). The text portrays political generosity not necessarily as benevolence but as an instrument of loyalty and control.</w:t>
      </w:r>
    </w:p>
    <w:p w14:paraId="7C82980E" w14:textId="77777777" w:rsidR="00E147D6" w:rsidRDefault="00000000">
      <w:pPr>
        <w:pStyle w:val="Heading1"/>
      </w:pPr>
      <w:r>
        <w:lastRenderedPageBreak/>
        <w:t>X. Daniel 11:25–28 — War with Egypt and a Table of Lies</w:t>
      </w:r>
    </w:p>
    <w:p w14:paraId="39105A48" w14:textId="77777777" w:rsidR="00E147D6" w:rsidRDefault="00000000">
      <w:r>
        <w:t>Antiochus mobilizes a large army against the king of the South, identified historically with Ptolemy VI Philometor. The Ptolemaic forces fail despite their size because intrigue and betrayal undermine them (Daniel 11:25–26).</w:t>
      </w:r>
    </w:p>
    <w:p w14:paraId="4364461C" w14:textId="77777777" w:rsidR="00E147D6" w:rsidRDefault="00000000">
      <w:r>
        <w:t>Verse 27 presents the two kings sitting at the same table while their hearts are intent on evil and they speak lies to one another. The image is almost a miniature theology of international diplomacy detached from righteousness. A shared table does not create trust when both parties use negotiation as deception.</w:t>
      </w:r>
    </w:p>
    <w:p w14:paraId="78E284B9" w14:textId="77777777" w:rsidR="00E147D6" w:rsidRDefault="00000000">
      <w:r>
        <w:t>The verse concludes that their schemes will not finally succeed “because the end is still to come at the appointed time.” This phrase supplies the theological interpretation of the entire political scene. Kings plot, deceive, invade, and negotiate, but history has an appointed boundary they do not control.</w:t>
      </w:r>
    </w:p>
    <w:p w14:paraId="250AA445" w14:textId="77777777" w:rsidR="00E147D6" w:rsidRDefault="00000000">
      <w:r>
        <w:t>Antiochus returns from Egypt with great wealth, but his heart is set against the holy covenant (Daniel 11:28). The political conflict now turns decisively toward religious persecution. First Maccabees 1 and Second Maccabees 5 describe violence in Jerusalem associated with Antiochus’s return from Egypt, including plundering of the Temple and bloodshed.</w:t>
      </w:r>
    </w:p>
    <w:p w14:paraId="244CB6AC" w14:textId="77777777" w:rsidR="00E147D6" w:rsidRDefault="00000000">
      <w:pPr>
        <w:pStyle w:val="Heading1"/>
      </w:pPr>
      <w:r>
        <w:t>XI. Daniel 11:29–30 — The Ships of Kittim and the Humiliation by Rome</w:t>
      </w:r>
    </w:p>
    <w:p w14:paraId="2E08A287" w14:textId="77777777" w:rsidR="00E147D6" w:rsidRDefault="00000000">
      <w:r>
        <w:t>Daniel says that at the appointed time Antiochus will again invade the South, but this campaign will not end like the former one. “Ships of Kittim” will come against him, causing him to become disheartened and withdraw (Daniel 11:29–30).</w:t>
      </w:r>
    </w:p>
    <w:p w14:paraId="1C4FD7CE" w14:textId="77777777" w:rsidR="00E147D6" w:rsidRDefault="00000000">
      <w:r>
        <w:t>Kittim originally referred to Cyprus and could later function more broadly for western maritime peoples. Here the historical event is widely connected with Roman intervention during Antiochus’s Egyptian campaign in 168 BC.</w:t>
      </w:r>
    </w:p>
    <w:p w14:paraId="3E16CD9B" w14:textId="77777777" w:rsidR="00E147D6" w:rsidRDefault="00000000">
      <w:r>
        <w:t>The Roman envoy Gaius Popillius Laenas confronted Antiochus near Alexandria and delivered the Senate’s demand that he withdraw from Egypt. Polybius reports that when Antiochus attempted to postpone his answer, Popillius drew a circle around him in the sand and required a decision before he stepped outside it. Antiochus yielded.</w:t>
      </w:r>
    </w:p>
    <w:p w14:paraId="0BDA9000" w14:textId="77777777" w:rsidR="00E147D6" w:rsidRDefault="00000000">
      <w:r>
        <w:t>This encounter is sometimes called the Day of Eleusis. It represented a profound demonstration of Rome’s growing dominance. The Seleucid king who could intimidate Jerusalem discovered that he could himself be intimidated by a greater imperial power.</w:t>
      </w:r>
    </w:p>
    <w:p w14:paraId="5AD2F790" w14:textId="77777777" w:rsidR="00E147D6" w:rsidRDefault="00000000">
      <w:r>
        <w:t>Daniel says that after being disheartened, he will return and show favor to those who forsake the holy covenant (Daniel 11:30). The persecution that follows therefore involves not only an external oppressor but internal collaborators.</w:t>
      </w:r>
    </w:p>
    <w:p w14:paraId="6A70258D" w14:textId="77777777" w:rsidR="00E147D6" w:rsidRDefault="00000000">
      <w:pPr>
        <w:pStyle w:val="Heading1"/>
      </w:pPr>
      <w:r>
        <w:t>XII. Daniel 11:31 — The Sanctuary Profaned and the Abomination of Desolation</w:t>
      </w:r>
    </w:p>
    <w:p w14:paraId="6B5D950C" w14:textId="77777777" w:rsidR="00E147D6" w:rsidRDefault="00000000">
      <w:r>
        <w:t>Daniel 11:31 reaches one of the chapter’s central moments: forces from the king profane the sanctuary fortress, abolish the regular sacrifice, and set up “the abomination of desolation.”</w:t>
      </w:r>
    </w:p>
    <w:p w14:paraId="002BCCBF" w14:textId="77777777" w:rsidR="00E147D6" w:rsidRDefault="00000000">
      <w:r>
        <w:t>The historical background is the crisis of 167 BC. First Maccabees reports royal decrees suppressing traditional Jewish worship, Sabbath observance, circumcision, and Torah fidelity, followed by the erection of an “abomination of desolation” upon the altar (1 Maccabees 1:41–64). Second Maccabees describes the Temple being associated with Zeus Olympios and portrays the sanctuary as filled with pagan practices (2 Maccabees 6:1–6).</w:t>
      </w:r>
    </w:p>
    <w:p w14:paraId="2B5A77B5" w14:textId="77777777" w:rsidR="00E147D6" w:rsidRDefault="00000000">
      <w:r>
        <w:lastRenderedPageBreak/>
        <w:t>The Hebrew expression שִׁקּוּץ מְשֹׁמֵם (šiqqûṣ mĕšōmēm) combines a term for a detestable or abominable thing, frequently associated with idolatry, with language of desolation. The expression does not merely describe physical destruction. It describes sacrilege that renders the sacred place religiously abhorrent and desolate.</w:t>
      </w:r>
    </w:p>
    <w:p w14:paraId="48AF16B3" w14:textId="77777777" w:rsidR="00E147D6" w:rsidRDefault="00000000">
      <w:r>
        <w:t>The cessation of the תָּמִיד (tāmîd), the regular offering, repeats the concern of Daniel 8. Political oppression has now reached the point where imperial authority claims the right to regulate the worship of God.</w:t>
      </w:r>
    </w:p>
    <w:p w14:paraId="00069EE2" w14:textId="77777777" w:rsidR="00E147D6" w:rsidRDefault="00000000">
      <w:pPr>
        <w:pStyle w:val="Heading1"/>
      </w:pPr>
      <w:r>
        <w:t>XIII. Daniel 11:32–35 — Those Who Know Their God</w:t>
      </w:r>
    </w:p>
    <w:p w14:paraId="1909ED04" w14:textId="77777777" w:rsidR="00E147D6" w:rsidRDefault="00000000">
      <w:pPr>
        <w:pStyle w:val="Heading2"/>
      </w:pPr>
      <w:r>
        <w:t>Flattery and Apostasy</w:t>
      </w:r>
    </w:p>
    <w:p w14:paraId="2CD66CAD" w14:textId="77777777" w:rsidR="00E147D6" w:rsidRDefault="00000000">
      <w:r>
        <w:t>The king corrupts by smooth words or flattery those who act wickedly toward the covenant (Daniel 11:32). The Hebrew חֲלַקְלַקּוֹת (ḥălaqlaqqôt) conveys smoothness and can describe deceptive or flattering speech. Antiochus does not rule only through force. He also exploits accommodation within the covenant community.</w:t>
      </w:r>
    </w:p>
    <w:p w14:paraId="3913EF26" w14:textId="77777777" w:rsidR="00E147D6" w:rsidRDefault="00000000">
      <w:r>
        <w:t>This corresponds with the historical complexity reflected in 1 and 2 Maccabees. Some Jewish elites actively embraced Hellenizing reforms, competed for political favor, and treated covenant institutions as instruments of advancement. The persecution therefore exposes a division already present within the community.</w:t>
      </w:r>
    </w:p>
    <w:p w14:paraId="4CCA6550" w14:textId="77777777" w:rsidR="00E147D6" w:rsidRDefault="00000000">
      <w:pPr>
        <w:pStyle w:val="Heading2"/>
      </w:pPr>
      <w:r>
        <w:t>“The People Who Know Their God Will Display Strength and Take Action”</w:t>
      </w:r>
    </w:p>
    <w:p w14:paraId="0B9D861B" w14:textId="77777777" w:rsidR="00E147D6" w:rsidRDefault="00000000">
      <w:r>
        <w:t>Against the collaborators stands one of the most memorable statements in Daniel: “but the people who know their God will display strength and take action” (Daniel 11:32). The contrast is not fundamentally between the politically powerful and powerless. It is between those seduced by advantage and those whose knowledge of God creates covenant fidelity.</w:t>
      </w:r>
    </w:p>
    <w:p w14:paraId="352E7DB2" w14:textId="77777777" w:rsidR="00E147D6" w:rsidRDefault="00000000">
      <w:r>
        <w:t>The Hebrew verb יָדַע (yādaʿ), “know,” regularly carries more than intellectual awareness. In covenant contexts it can describe relational recognition and fidelity. These people do not merely possess correct information about God; their knowledge of Him becomes the source of resistance.</w:t>
      </w:r>
    </w:p>
    <w:p w14:paraId="5398DEDE" w14:textId="77777777" w:rsidR="00E147D6" w:rsidRDefault="00000000">
      <w:r>
        <w:t>The following verses show that “strength” does not mean uninterrupted military success. The wise give understanding to many, yet some fall by sword, flame, captivity, and plunder (Daniel 11:33). Faithfulness can coexist with suffering.</w:t>
      </w:r>
    </w:p>
    <w:p w14:paraId="2AAAD63F" w14:textId="77777777" w:rsidR="00E147D6" w:rsidRDefault="00000000">
      <w:r>
        <w:t>This is essential for theological application. Daniel does not teach that knowing God guarantees immediate political victory. It gives God’s people the capacity to remain faithful when political victory is unavailable.</w:t>
      </w:r>
    </w:p>
    <w:p w14:paraId="76EA026E" w14:textId="77777777" w:rsidR="00E147D6" w:rsidRDefault="00000000">
      <w:pPr>
        <w:pStyle w:val="Heading2"/>
      </w:pPr>
      <w:r>
        <w:t>The Maskilim: Those Who Have Insight</w:t>
      </w:r>
    </w:p>
    <w:p w14:paraId="0A6C241C" w14:textId="77777777" w:rsidR="00E147D6" w:rsidRDefault="00000000">
      <w:r>
        <w:t>Daniel 11:33 introduces “those who have insight among the people.” The participial form from שָׂכַל (śākal) refers to those who understand, act wisely, or possess insight. The same group becomes important again in Daniel 12:3 and 12:10.</w:t>
      </w:r>
    </w:p>
    <w:p w14:paraId="71B1FA3F" w14:textId="77777777" w:rsidR="00E147D6" w:rsidRDefault="00000000">
      <w:r>
        <w:t>Their ministry is educational: they “give understanding to the many.” In a time of persecution and deception, teaching becomes an act of resistance. The faithful community survives not only because some fight but because some understand Scripture well enough to teach others how to remain faithful.</w:t>
      </w:r>
    </w:p>
    <w:p w14:paraId="53DA25F1" w14:textId="77777777" w:rsidR="00E147D6" w:rsidRDefault="00000000">
      <w:r>
        <w:t>This point deserves emphasis in a teaching ministry. Daniel’s heroes at this stage are not merely warriors. They are interpreters who help the people understand what faithfulness requires when cultural and political pressure make compromise attractive.</w:t>
      </w:r>
    </w:p>
    <w:p w14:paraId="72EE6D7B" w14:textId="77777777" w:rsidR="00E147D6" w:rsidRDefault="00000000">
      <w:pPr>
        <w:pStyle w:val="Heading2"/>
      </w:pPr>
      <w:r>
        <w:t>A Little Help</w:t>
      </w:r>
    </w:p>
    <w:p w14:paraId="3FEB0D35" w14:textId="77777777" w:rsidR="00E147D6" w:rsidRDefault="00000000">
      <w:r>
        <w:t>Daniel 11:34 says that when the wise fall they will receive “a little help,” though many will join them in hypocrisy. The phrase is commonly associated with the early successes of the Maccabean resistance, but the wording is deliberately restrained.</w:t>
      </w:r>
    </w:p>
    <w:p w14:paraId="3766781B" w14:textId="77777777" w:rsidR="00E147D6" w:rsidRDefault="00000000">
      <w:r>
        <w:lastRenderedPageBreak/>
        <w:t>The Maccabean revolt did provide genuine relief and eventually led to the rededication of the Temple in 164 BC. Yet the movement also developed political complexities of its own, and later Hasmonean history would not represent the final righteousness promised in Daniel 9.</w:t>
      </w:r>
    </w:p>
    <w:p w14:paraId="711A7314" w14:textId="77777777" w:rsidR="00E147D6" w:rsidRDefault="00000000">
      <w:r>
        <w:t>The expression “a little help” therefore fits the chapter’s theology. Historical deliverance can be real without being ultimate.</w:t>
      </w:r>
    </w:p>
    <w:p w14:paraId="1EBDCD37" w14:textId="77777777" w:rsidR="00E147D6" w:rsidRDefault="00000000">
      <w:pPr>
        <w:pStyle w:val="Heading2"/>
      </w:pPr>
      <w:r>
        <w:t>Refining, Purging, and Making Pure</w:t>
      </w:r>
    </w:p>
    <w:p w14:paraId="72766FB3" w14:textId="77777777" w:rsidR="00E147D6" w:rsidRDefault="00000000">
      <w:r>
        <w:t>Some of the wise will fall “in order to refine, purge and make them pure until the end time; because it is still to come at the appointed time” (Daniel 11:35). Persecution is not described as evidence that God has lost control. Within the mystery of providence, suffering becomes a refining context.</w:t>
      </w:r>
    </w:p>
    <w:p w14:paraId="44A8131F" w14:textId="77777777" w:rsidR="00E147D6" w:rsidRDefault="00000000">
      <w:r>
        <w:t>The verbs evoke purification imagery. The faithful are tested and clarified through pressure. Yet the verse does not glorify persecution or make the persecutor righteous. Antiochus remains wicked. God’s sovereignty is seen in His ability to use even hostile circumstances for purposes the oppressor never intended.</w:t>
      </w:r>
    </w:p>
    <w:p w14:paraId="7EF27814" w14:textId="77777777" w:rsidR="00E147D6" w:rsidRDefault="00000000">
      <w:pPr>
        <w:pStyle w:val="Heading1"/>
      </w:pPr>
      <w:r>
        <w:t>XIV. Daniel 11:36–39 — Does the Horizon Change?</w:t>
      </w:r>
    </w:p>
    <w:p w14:paraId="36F5A614" w14:textId="77777777" w:rsidR="00E147D6" w:rsidRDefault="00000000">
      <w:r>
        <w:t>Verse 36 introduces “the king” who will do as he pleases, exalt and magnify himself above every god, speak monstrous things against the God of gods, and prosper until the indignation is finished. At this point the interpretive debate intensifies.</w:t>
      </w:r>
    </w:p>
    <w:p w14:paraId="08F12F33" w14:textId="77777777" w:rsidR="00E147D6" w:rsidRDefault="00000000">
      <w:r>
        <w:t>Some interpreters continue to identify the king as Antiochus IV, seeing verses 36–39 as a theological characterization of the same ruler already in view. Antiochus’s royal ideology, persecution, and sacrilegious policies certainly provide strong continuity with the preceding verses.</w:t>
      </w:r>
    </w:p>
    <w:p w14:paraId="27AC7A84" w14:textId="77777777" w:rsidR="00E147D6" w:rsidRDefault="00000000">
      <w:r>
        <w:t>Other interpreters argue that the language now moves beyond Antiochus toward a final eschatological ruler. Several observations support that possibility: the increasingly universal language of self-exaltation, the connection with “the indignation” reaching its decreed completion, the difficulty of correlating verses 40–45 precisely with Antiochus’s known final campaigns and death, and the immediate movement in Daniel 12:1–2 to unparalleled distress and resurrection.</w:t>
      </w:r>
    </w:p>
    <w:p w14:paraId="1EE4DC44" w14:textId="77777777" w:rsidR="00E147D6" w:rsidRDefault="00000000">
      <w:r>
        <w:t>A third approach understands Antiochus typologically: the historical ruler remains the pattern from which the text moves toward the climactic anti-God king. This has the advantage of preserving the chapter’s historical continuity while recognizing that the final verses appear to exceed the known biography of Antiochus.</w:t>
      </w:r>
    </w:p>
    <w:tbl>
      <w:tblPr>
        <w:tblW w:w="0" w:type="auto"/>
        <w:jc w:val="center"/>
        <w:tblLook w:val="04A0" w:firstRow="1" w:lastRow="0" w:firstColumn="1" w:lastColumn="0" w:noHBand="0" w:noVBand="1"/>
      </w:tblPr>
      <w:tblGrid>
        <w:gridCol w:w="9878"/>
      </w:tblGrid>
      <w:tr w:rsidR="00E147D6" w14:paraId="37D336E6" w14:textId="77777777">
        <w:trPr>
          <w:jc w:val="center"/>
        </w:trPr>
        <w:tc>
          <w:tcPr>
            <w:tcW w:w="9878" w:type="dxa"/>
            <w:shd w:val="clear" w:color="auto" w:fill="EDEDED"/>
          </w:tcPr>
          <w:p w14:paraId="4CE2ED07" w14:textId="77777777" w:rsidR="00E147D6" w:rsidRDefault="00000000">
            <w:r>
              <w:rPr>
                <w:b/>
                <w:sz w:val="22"/>
              </w:rPr>
              <w:t>Interpretive Principle</w:t>
            </w:r>
          </w:p>
          <w:p w14:paraId="38ABF498" w14:textId="77777777" w:rsidR="00E147D6" w:rsidRDefault="00000000">
            <w:r>
              <w:t>A change of horizon should not be asserted merely because a preferred eschatological system requires it. Neither should it be rejected merely because the earlier verses concern Antiochus. The question is whether the language, historical correspondence, and canonical continuation indicate that Antiochus has become the pattern for something larger.</w:t>
            </w:r>
          </w:p>
        </w:tc>
      </w:tr>
    </w:tbl>
    <w:p w14:paraId="3CEDDA90" w14:textId="77777777" w:rsidR="00E147D6" w:rsidRDefault="00E147D6"/>
    <w:p w14:paraId="0BE6AB52" w14:textId="77777777" w:rsidR="00E147D6" w:rsidRDefault="00000000">
      <w:pPr>
        <w:pStyle w:val="Heading2"/>
      </w:pPr>
      <w:r>
        <w:t>The King Who Exalts Himself</w:t>
      </w:r>
    </w:p>
    <w:p w14:paraId="2B471692" w14:textId="77777777" w:rsidR="00E147D6" w:rsidRDefault="00000000">
      <w:r>
        <w:t>The king “will exalt and magnify himself above every god and will speak monstrous things against the God of gods” (Daniel 11:36). The language recalls the arrogant horn of Daniel 7:8, 20, 25 and the self-magnifying horn of Daniel 8:10–12, 25.</w:t>
      </w:r>
    </w:p>
    <w:p w14:paraId="6139B834" w14:textId="77777777" w:rsidR="00E147D6" w:rsidRDefault="00000000">
      <w:r>
        <w:t>This convergence is theologically significant. Daniel repeatedly portrays the climax of evil not merely as violence but as self-exaltation. Political authority becomes anti-God when it refuses creaturely limits and claims a status that belongs to God.</w:t>
      </w:r>
    </w:p>
    <w:p w14:paraId="7E5C8292" w14:textId="77777777" w:rsidR="00E147D6" w:rsidRDefault="00000000">
      <w:r>
        <w:lastRenderedPageBreak/>
        <w:t>Paul’s description of the “man of lawlessness” in 2 Thessalonians 2:3–4 strongly echoes this Danielic language: he opposes and exalts himself above every so-called god or object of worship and displays himself as God. Paul therefore appears to read Daniel’s pattern as relevant to a climactic future opponent.</w:t>
      </w:r>
    </w:p>
    <w:p w14:paraId="3E0A1985" w14:textId="77777777" w:rsidR="00E147D6" w:rsidRDefault="00000000">
      <w:pPr>
        <w:pStyle w:val="Heading2"/>
      </w:pPr>
      <w:r>
        <w:t>The God of Fortresses</w:t>
      </w:r>
    </w:p>
    <w:p w14:paraId="2481CE2C" w14:textId="77777777" w:rsidR="00E147D6" w:rsidRDefault="00000000">
      <w:r>
        <w:t>Daniel 11:38 says that the king will honor “a god of fortresses,” a god his fathers did not know, with gold, silver, precious stones, and treasures. The expression is difficult. It may describe the ruler’s devotion to military power personified as a god, or an otherwise unfamiliar deity associated with fortification and conquest.</w:t>
      </w:r>
    </w:p>
    <w:p w14:paraId="22CF3312" w14:textId="77777777" w:rsidR="00E147D6" w:rsidRDefault="00000000">
      <w:r>
        <w:t>Attempts to identify the phrase with a specific later religious figure often exceed the evidence. The theological irony is clearer than the precise cultic identification: the ruler who exalts himself above gods nevertheless devotes himself to the power by which he secures his kingdom.</w:t>
      </w:r>
    </w:p>
    <w:p w14:paraId="01E6FF27" w14:textId="77777777" w:rsidR="00E147D6" w:rsidRDefault="00000000">
      <w:pPr>
        <w:pStyle w:val="Heading1"/>
      </w:pPr>
      <w:r>
        <w:t>XV. Daniel 11:40–45 — The Time of the End</w:t>
      </w:r>
    </w:p>
    <w:p w14:paraId="15D724D5" w14:textId="77777777" w:rsidR="00E147D6" w:rsidRDefault="00000000">
      <w:r>
        <w:t>Verse 40 explicitly begins, “At the end time the king of the South will collide with him, and the king of the North will storm against him.” The passage describes sweeping military movement, invasion of the Beautiful Land, conquest of many countries, and conflict extending toward Egypt and North Africa.</w:t>
      </w:r>
    </w:p>
    <w:p w14:paraId="79ACB28E" w14:textId="77777777" w:rsidR="00E147D6" w:rsidRDefault="00000000">
      <w:r>
        <w:t>Attempts to correlate every detail of verses 40–45 with Antiochus IV encounter significant historical difficulties. Our surviving sources do not describe Antiochus’s final years in a way that neatly matches the sequence. Antiochus died in the east, probably in the region of Persia, in 164 BC; Daniel 11:45 describes the king pitching royal tents “between the seas and the beautiful Holy Mountain” before coming to his end with no one to help him.</w:t>
      </w:r>
    </w:p>
    <w:p w14:paraId="714AE4BF" w14:textId="77777777" w:rsidR="00E147D6" w:rsidRDefault="00000000">
      <w:r>
        <w:t>This discrepancy has been interpreted very differently. Critical scholars commonly argue that the author accurately recounts events up to his own time and then makes an unsuccessful prediction concerning Antiochus’s death. That conclusion is tied to a second-century dating of Daniel.</w:t>
      </w:r>
    </w:p>
    <w:p w14:paraId="61367AA1" w14:textId="77777777" w:rsidR="00E147D6" w:rsidRDefault="00000000">
      <w:r>
        <w:t>Conservative interpreters reject that explanation because it assumes the impossibility of genuine predictive prophecy and because the book itself presents these revelations as given to Daniel centuries earlier. Many therefore see verses 36 or 40 onward as shifting to a future ruler whose career culminates immediately before the events of Daniel 12.</w:t>
      </w:r>
    </w:p>
    <w:p w14:paraId="020B6D73" w14:textId="77777777" w:rsidR="00E147D6" w:rsidRDefault="00000000">
      <w:r>
        <w:t>The interpretive question should not be reduced to labels. The textual issue is real: the correspondence with Antiochus is extraordinarily close through verse 35, while the final movement is much harder to align with his known death and flows directly into resurrection in chapter 12. This provides substantial reason to consider an eschatological expansion of the Antiochus pattern.</w:t>
      </w:r>
    </w:p>
    <w:p w14:paraId="0B728B07" w14:textId="77777777" w:rsidR="00E147D6" w:rsidRDefault="00000000">
      <w:pPr>
        <w:pStyle w:val="Heading2"/>
      </w:pPr>
      <w:r>
        <w:t>Edom, Moab, and Ammon</w:t>
      </w:r>
    </w:p>
    <w:p w14:paraId="444C5281" w14:textId="77777777" w:rsidR="00E147D6" w:rsidRDefault="00000000">
      <w:r>
        <w:t>Daniel 11:41 says that Edom, Moab, and the foremost sons of Ammon will escape the king’s hand. These Transjordanian peoples were ancient neighbors and frequent rivals of Israel. By the Hellenistic and Roman periods, their political identities had changed considerably, which makes highly literal modern geopolitical mapping hazardous.</w:t>
      </w:r>
    </w:p>
    <w:p w14:paraId="3F05E9DC" w14:textId="77777777" w:rsidR="00E147D6" w:rsidRDefault="00000000">
      <w:r>
        <w:t>If the passage is eschatological, the ancient names may function through the geography and peoples known to Daniel rather than serving as simple codes for modern nation-states. Prophetic interpretation should resist converting every ancient ethnonym directly into a current political border.</w:t>
      </w:r>
    </w:p>
    <w:p w14:paraId="60E960A8" w14:textId="77777777" w:rsidR="00E147D6" w:rsidRDefault="00000000">
      <w:pPr>
        <w:pStyle w:val="Heading2"/>
      </w:pPr>
      <w:r>
        <w:t>“He Will Come to His End, and No One Will Help Him”</w:t>
      </w:r>
    </w:p>
    <w:p w14:paraId="742DEEA9" w14:textId="77777777" w:rsidR="00E147D6" w:rsidRDefault="00000000">
      <w:r>
        <w:t>The chapter closes not with the king’s triumph but with his isolation: “yet he will come to his end, and no one will help him” (Daniel 11:45). This is the theological conclusion to the entire parade of imperial power.</w:t>
      </w:r>
    </w:p>
    <w:p w14:paraId="2129BD3C" w14:textId="77777777" w:rsidR="00E147D6" w:rsidRDefault="00000000">
      <w:r>
        <w:lastRenderedPageBreak/>
        <w:t>Persian kings accumulated wealth. Alexander conquered with astonishing speed. Ptolemies and Seleucids negotiated, married, betrayed, invaded, and taxed. Antiochus profaned the sanctuary and persecuted the faithful. Yet every ruler eventually reaches the boundary God has appointed.</w:t>
      </w:r>
    </w:p>
    <w:p w14:paraId="594D79BE" w14:textId="77777777" w:rsidR="00E147D6" w:rsidRDefault="00000000">
      <w:r>
        <w:t>The final king, however he is identified, is no exception. The one who appears to dominate nations cannot secure himself against the end decreed by God.</w:t>
      </w:r>
    </w:p>
    <w:p w14:paraId="0C444ACA" w14:textId="77777777" w:rsidR="00E147D6" w:rsidRDefault="00000000">
      <w:pPr>
        <w:pStyle w:val="Heading1"/>
      </w:pPr>
      <w:r>
        <w:t>XVI. A Historical Map of Daniel 11:2–35</w:t>
      </w:r>
    </w:p>
    <w:tbl>
      <w:tblPr>
        <w:tblStyle w:val="TableGrid"/>
        <w:tblW w:w="0" w:type="auto"/>
        <w:jc w:val="center"/>
        <w:tblLook w:val="04A0" w:firstRow="1" w:lastRow="0" w:firstColumn="1" w:lastColumn="0" w:noHBand="0" w:noVBand="1"/>
      </w:tblPr>
      <w:tblGrid>
        <w:gridCol w:w="2467"/>
        <w:gridCol w:w="2467"/>
        <w:gridCol w:w="2467"/>
        <w:gridCol w:w="2467"/>
      </w:tblGrid>
      <w:tr w:rsidR="00E147D6" w14:paraId="5A22F9F4" w14:textId="77777777">
        <w:trPr>
          <w:jc w:val="center"/>
        </w:trPr>
        <w:tc>
          <w:tcPr>
            <w:tcW w:w="2469" w:type="dxa"/>
          </w:tcPr>
          <w:p w14:paraId="32F5D5EA" w14:textId="77777777" w:rsidR="00E147D6" w:rsidRDefault="00000000">
            <w:r>
              <w:t>Daniel</w:t>
            </w:r>
          </w:p>
        </w:tc>
        <w:tc>
          <w:tcPr>
            <w:tcW w:w="2469" w:type="dxa"/>
          </w:tcPr>
          <w:p w14:paraId="1C1C4422" w14:textId="77777777" w:rsidR="00E147D6" w:rsidRDefault="00000000">
            <w:r>
              <w:t>Likely Historical Referent</w:t>
            </w:r>
          </w:p>
        </w:tc>
        <w:tc>
          <w:tcPr>
            <w:tcW w:w="2469" w:type="dxa"/>
          </w:tcPr>
          <w:p w14:paraId="036E82D4" w14:textId="77777777" w:rsidR="00E147D6" w:rsidRDefault="00000000">
            <w:r>
              <w:t>Approx. Date</w:t>
            </w:r>
          </w:p>
        </w:tc>
        <w:tc>
          <w:tcPr>
            <w:tcW w:w="2469" w:type="dxa"/>
          </w:tcPr>
          <w:p w14:paraId="419DB484" w14:textId="77777777" w:rsidR="00E147D6" w:rsidRDefault="00000000">
            <w:r>
              <w:t>Key Event</w:t>
            </w:r>
          </w:p>
        </w:tc>
      </w:tr>
      <w:tr w:rsidR="00E147D6" w14:paraId="53E61AB8" w14:textId="77777777">
        <w:trPr>
          <w:jc w:val="center"/>
        </w:trPr>
        <w:tc>
          <w:tcPr>
            <w:tcW w:w="2469" w:type="dxa"/>
          </w:tcPr>
          <w:p w14:paraId="0ADBE2DB" w14:textId="77777777" w:rsidR="00E147D6" w:rsidRDefault="00000000">
            <w:r>
              <w:t>11:2</w:t>
            </w:r>
          </w:p>
        </w:tc>
        <w:tc>
          <w:tcPr>
            <w:tcW w:w="2469" w:type="dxa"/>
          </w:tcPr>
          <w:p w14:paraId="309A9D89" w14:textId="77777777" w:rsidR="00E147D6" w:rsidRDefault="00000000">
            <w:r>
              <w:t>Xerxes I within the Persian sequence</w:t>
            </w:r>
          </w:p>
        </w:tc>
        <w:tc>
          <w:tcPr>
            <w:tcW w:w="2469" w:type="dxa"/>
          </w:tcPr>
          <w:p w14:paraId="369A7087" w14:textId="77777777" w:rsidR="00E147D6" w:rsidRDefault="00000000">
            <w:r>
              <w:t>486–465 BC</w:t>
            </w:r>
          </w:p>
        </w:tc>
        <w:tc>
          <w:tcPr>
            <w:tcW w:w="2469" w:type="dxa"/>
          </w:tcPr>
          <w:p w14:paraId="5DDBCA20" w14:textId="77777777" w:rsidR="00E147D6" w:rsidRDefault="00000000">
            <w:r>
              <w:t>Wealthy Persian king mobilizes massive campaign against Greece.</w:t>
            </w:r>
          </w:p>
        </w:tc>
      </w:tr>
      <w:tr w:rsidR="00E147D6" w14:paraId="6F576D20" w14:textId="77777777">
        <w:trPr>
          <w:jc w:val="center"/>
        </w:trPr>
        <w:tc>
          <w:tcPr>
            <w:tcW w:w="2469" w:type="dxa"/>
          </w:tcPr>
          <w:p w14:paraId="3D9BF0AB" w14:textId="77777777" w:rsidR="00E147D6" w:rsidRDefault="00000000">
            <w:r>
              <w:t>11:3–4</w:t>
            </w:r>
          </w:p>
        </w:tc>
        <w:tc>
          <w:tcPr>
            <w:tcW w:w="2469" w:type="dxa"/>
          </w:tcPr>
          <w:p w14:paraId="226C9236" w14:textId="77777777" w:rsidR="00E147D6" w:rsidRDefault="00000000">
            <w:r>
              <w:t>Alexander the Great</w:t>
            </w:r>
          </w:p>
        </w:tc>
        <w:tc>
          <w:tcPr>
            <w:tcW w:w="2469" w:type="dxa"/>
          </w:tcPr>
          <w:p w14:paraId="3A31DD09" w14:textId="77777777" w:rsidR="00E147D6" w:rsidRDefault="00000000">
            <w:r>
              <w:t>336–323 BC</w:t>
            </w:r>
          </w:p>
        </w:tc>
        <w:tc>
          <w:tcPr>
            <w:tcW w:w="2469" w:type="dxa"/>
          </w:tcPr>
          <w:p w14:paraId="25F97DAF" w14:textId="77777777" w:rsidR="00E147D6" w:rsidRDefault="00000000">
            <w:r>
              <w:t>Greek conquest; empire fragmented after his death.</w:t>
            </w:r>
          </w:p>
        </w:tc>
      </w:tr>
      <w:tr w:rsidR="00E147D6" w14:paraId="7FDF4AA0" w14:textId="77777777">
        <w:trPr>
          <w:jc w:val="center"/>
        </w:trPr>
        <w:tc>
          <w:tcPr>
            <w:tcW w:w="2469" w:type="dxa"/>
          </w:tcPr>
          <w:p w14:paraId="08025A91" w14:textId="77777777" w:rsidR="00E147D6" w:rsidRDefault="00000000">
            <w:r>
              <w:t>11:5</w:t>
            </w:r>
          </w:p>
        </w:tc>
        <w:tc>
          <w:tcPr>
            <w:tcW w:w="2469" w:type="dxa"/>
          </w:tcPr>
          <w:p w14:paraId="5D591C8E" w14:textId="77777777" w:rsidR="00E147D6" w:rsidRDefault="00000000">
            <w:r>
              <w:t>Ptolemy I / Seleucus I</w:t>
            </w:r>
          </w:p>
        </w:tc>
        <w:tc>
          <w:tcPr>
            <w:tcW w:w="2469" w:type="dxa"/>
          </w:tcPr>
          <w:p w14:paraId="3EA9500C" w14:textId="77777777" w:rsidR="00E147D6" w:rsidRDefault="00000000">
            <w:r>
              <w:t>late 4th–early 3rd c. BC</w:t>
            </w:r>
          </w:p>
        </w:tc>
        <w:tc>
          <w:tcPr>
            <w:tcW w:w="2469" w:type="dxa"/>
          </w:tcPr>
          <w:p w14:paraId="0070BBBF" w14:textId="77777777" w:rsidR="00E147D6" w:rsidRDefault="00000000">
            <w:r>
              <w:t>Southern and northern Hellenistic kingdoms emerge.</w:t>
            </w:r>
          </w:p>
        </w:tc>
      </w:tr>
      <w:tr w:rsidR="00E147D6" w14:paraId="2A915E16" w14:textId="77777777">
        <w:trPr>
          <w:jc w:val="center"/>
        </w:trPr>
        <w:tc>
          <w:tcPr>
            <w:tcW w:w="2469" w:type="dxa"/>
          </w:tcPr>
          <w:p w14:paraId="343EDDD4" w14:textId="77777777" w:rsidR="00E147D6" w:rsidRDefault="00000000">
            <w:r>
              <w:t>11:6</w:t>
            </w:r>
          </w:p>
        </w:tc>
        <w:tc>
          <w:tcPr>
            <w:tcW w:w="2469" w:type="dxa"/>
          </w:tcPr>
          <w:p w14:paraId="6AD0DD36" w14:textId="77777777" w:rsidR="00E147D6" w:rsidRDefault="00000000">
            <w:r>
              <w:t>Berenice / Antiochus II / Laodice</w:t>
            </w:r>
          </w:p>
        </w:tc>
        <w:tc>
          <w:tcPr>
            <w:tcW w:w="2469" w:type="dxa"/>
          </w:tcPr>
          <w:p w14:paraId="69C36098" w14:textId="77777777" w:rsidR="00E147D6" w:rsidRDefault="00000000">
            <w:r>
              <w:t>c. 252–246 BC</w:t>
            </w:r>
          </w:p>
        </w:tc>
        <w:tc>
          <w:tcPr>
            <w:tcW w:w="2469" w:type="dxa"/>
          </w:tcPr>
          <w:p w14:paraId="075D8A5A" w14:textId="77777777" w:rsidR="00E147D6" w:rsidRDefault="00000000">
            <w:r>
              <w:t>Dynastic marriage fails violently.</w:t>
            </w:r>
          </w:p>
        </w:tc>
      </w:tr>
      <w:tr w:rsidR="00E147D6" w14:paraId="7BA8E5DC" w14:textId="77777777">
        <w:trPr>
          <w:jc w:val="center"/>
        </w:trPr>
        <w:tc>
          <w:tcPr>
            <w:tcW w:w="2469" w:type="dxa"/>
          </w:tcPr>
          <w:p w14:paraId="25D33F18" w14:textId="77777777" w:rsidR="00E147D6" w:rsidRDefault="00000000">
            <w:r>
              <w:t>11:7–9</w:t>
            </w:r>
          </w:p>
        </w:tc>
        <w:tc>
          <w:tcPr>
            <w:tcW w:w="2469" w:type="dxa"/>
          </w:tcPr>
          <w:p w14:paraId="3428520A" w14:textId="77777777" w:rsidR="00E147D6" w:rsidRDefault="00000000">
            <w:r>
              <w:t>Ptolemy III / Seleucus II</w:t>
            </w:r>
          </w:p>
        </w:tc>
        <w:tc>
          <w:tcPr>
            <w:tcW w:w="2469" w:type="dxa"/>
          </w:tcPr>
          <w:p w14:paraId="09E006B4" w14:textId="77777777" w:rsidR="00E147D6" w:rsidRDefault="00000000">
            <w:r>
              <w:t>246–241 BC and after</w:t>
            </w:r>
          </w:p>
        </w:tc>
        <w:tc>
          <w:tcPr>
            <w:tcW w:w="2469" w:type="dxa"/>
          </w:tcPr>
          <w:p w14:paraId="726DDC4A" w14:textId="77777777" w:rsidR="00E147D6" w:rsidRDefault="00000000">
            <w:r>
              <w:t>Ptolemaic invasion in response to Berenice’s death.</w:t>
            </w:r>
          </w:p>
        </w:tc>
      </w:tr>
      <w:tr w:rsidR="00E147D6" w14:paraId="642F326E" w14:textId="77777777">
        <w:trPr>
          <w:jc w:val="center"/>
        </w:trPr>
        <w:tc>
          <w:tcPr>
            <w:tcW w:w="2469" w:type="dxa"/>
          </w:tcPr>
          <w:p w14:paraId="1987272E" w14:textId="77777777" w:rsidR="00E147D6" w:rsidRDefault="00000000">
            <w:r>
              <w:t>11:10–12</w:t>
            </w:r>
          </w:p>
        </w:tc>
        <w:tc>
          <w:tcPr>
            <w:tcW w:w="2469" w:type="dxa"/>
          </w:tcPr>
          <w:p w14:paraId="70F6C5BB" w14:textId="77777777" w:rsidR="00E147D6" w:rsidRDefault="00000000">
            <w:r>
              <w:t>Antiochus III / Ptolemy IV</w:t>
            </w:r>
          </w:p>
        </w:tc>
        <w:tc>
          <w:tcPr>
            <w:tcW w:w="2469" w:type="dxa"/>
          </w:tcPr>
          <w:p w14:paraId="460C95B6" w14:textId="77777777" w:rsidR="00E147D6" w:rsidRDefault="00000000">
            <w:r>
              <w:t>219–217 BC</w:t>
            </w:r>
          </w:p>
        </w:tc>
        <w:tc>
          <w:tcPr>
            <w:tcW w:w="2469" w:type="dxa"/>
          </w:tcPr>
          <w:p w14:paraId="6BD84DD7" w14:textId="77777777" w:rsidR="00E147D6" w:rsidRDefault="00000000">
            <w:r>
              <w:t>Campaigns culminating in Battle of Raphia.</w:t>
            </w:r>
          </w:p>
        </w:tc>
      </w:tr>
      <w:tr w:rsidR="00E147D6" w14:paraId="26A6B1C6" w14:textId="77777777">
        <w:trPr>
          <w:jc w:val="center"/>
        </w:trPr>
        <w:tc>
          <w:tcPr>
            <w:tcW w:w="2469" w:type="dxa"/>
          </w:tcPr>
          <w:p w14:paraId="01AE9396" w14:textId="77777777" w:rsidR="00E147D6" w:rsidRDefault="00000000">
            <w:r>
              <w:t>11:13–16</w:t>
            </w:r>
          </w:p>
        </w:tc>
        <w:tc>
          <w:tcPr>
            <w:tcW w:w="2469" w:type="dxa"/>
          </w:tcPr>
          <w:p w14:paraId="21608B01" w14:textId="77777777" w:rsidR="00E147D6" w:rsidRDefault="00000000">
            <w:r>
              <w:t>Antiochus III / Ptolemy V</w:t>
            </w:r>
          </w:p>
        </w:tc>
        <w:tc>
          <w:tcPr>
            <w:tcW w:w="2469" w:type="dxa"/>
          </w:tcPr>
          <w:p w14:paraId="0FC170F9" w14:textId="77777777" w:rsidR="00E147D6" w:rsidRDefault="00000000">
            <w:r>
              <w:t>c. 202–198 BC</w:t>
            </w:r>
          </w:p>
        </w:tc>
        <w:tc>
          <w:tcPr>
            <w:tcW w:w="2469" w:type="dxa"/>
          </w:tcPr>
          <w:p w14:paraId="0B17AF24" w14:textId="77777777" w:rsidR="00E147D6" w:rsidRDefault="00000000">
            <w:r>
              <w:t>Seleucid recovery; Judea passes into Seleucid control.</w:t>
            </w:r>
          </w:p>
        </w:tc>
      </w:tr>
      <w:tr w:rsidR="00E147D6" w14:paraId="2D50C0DA" w14:textId="77777777">
        <w:trPr>
          <w:jc w:val="center"/>
        </w:trPr>
        <w:tc>
          <w:tcPr>
            <w:tcW w:w="2469" w:type="dxa"/>
          </w:tcPr>
          <w:p w14:paraId="63FECD86" w14:textId="77777777" w:rsidR="00E147D6" w:rsidRDefault="00000000">
            <w:r>
              <w:t>11:17</w:t>
            </w:r>
          </w:p>
        </w:tc>
        <w:tc>
          <w:tcPr>
            <w:tcW w:w="2469" w:type="dxa"/>
          </w:tcPr>
          <w:p w14:paraId="411F6A4B" w14:textId="77777777" w:rsidR="00E147D6" w:rsidRDefault="00000000">
            <w:r>
              <w:t>Cleopatra I / Ptolemy V</w:t>
            </w:r>
          </w:p>
        </w:tc>
        <w:tc>
          <w:tcPr>
            <w:tcW w:w="2469" w:type="dxa"/>
          </w:tcPr>
          <w:p w14:paraId="6D3D8633" w14:textId="77777777" w:rsidR="00E147D6" w:rsidRDefault="00000000">
            <w:r>
              <w:t>c. 194/193 BC</w:t>
            </w:r>
          </w:p>
        </w:tc>
        <w:tc>
          <w:tcPr>
            <w:tcW w:w="2469" w:type="dxa"/>
          </w:tcPr>
          <w:p w14:paraId="6C525340" w14:textId="77777777" w:rsidR="00E147D6" w:rsidRDefault="00000000">
            <w:r>
              <w:t>Marriage alliance fails to deliver intended control.</w:t>
            </w:r>
          </w:p>
        </w:tc>
      </w:tr>
      <w:tr w:rsidR="00E147D6" w14:paraId="173AAAC6" w14:textId="77777777">
        <w:trPr>
          <w:jc w:val="center"/>
        </w:trPr>
        <w:tc>
          <w:tcPr>
            <w:tcW w:w="2469" w:type="dxa"/>
          </w:tcPr>
          <w:p w14:paraId="0E0335C1" w14:textId="77777777" w:rsidR="00E147D6" w:rsidRDefault="00000000">
            <w:r>
              <w:t>11:18–19</w:t>
            </w:r>
          </w:p>
        </w:tc>
        <w:tc>
          <w:tcPr>
            <w:tcW w:w="2469" w:type="dxa"/>
          </w:tcPr>
          <w:p w14:paraId="2C31D653" w14:textId="77777777" w:rsidR="00E147D6" w:rsidRDefault="00000000">
            <w:r>
              <w:t>Antiochus III / Rome</w:t>
            </w:r>
          </w:p>
        </w:tc>
        <w:tc>
          <w:tcPr>
            <w:tcW w:w="2469" w:type="dxa"/>
          </w:tcPr>
          <w:p w14:paraId="0EF80440" w14:textId="77777777" w:rsidR="00E147D6" w:rsidRDefault="00000000">
            <w:r>
              <w:t>192–187 BC</w:t>
            </w:r>
          </w:p>
        </w:tc>
        <w:tc>
          <w:tcPr>
            <w:tcW w:w="2469" w:type="dxa"/>
          </w:tcPr>
          <w:p w14:paraId="5BC7B369" w14:textId="77777777" w:rsidR="00E147D6" w:rsidRDefault="00000000">
            <w:r>
              <w:t>Defeat by Rome; Treaty of Apamea; death in east.</w:t>
            </w:r>
          </w:p>
        </w:tc>
      </w:tr>
      <w:tr w:rsidR="00E147D6" w14:paraId="22B07117" w14:textId="77777777">
        <w:trPr>
          <w:jc w:val="center"/>
        </w:trPr>
        <w:tc>
          <w:tcPr>
            <w:tcW w:w="2469" w:type="dxa"/>
          </w:tcPr>
          <w:p w14:paraId="40B6296C" w14:textId="77777777" w:rsidR="00E147D6" w:rsidRDefault="00000000">
            <w:r>
              <w:t>11:20</w:t>
            </w:r>
          </w:p>
        </w:tc>
        <w:tc>
          <w:tcPr>
            <w:tcW w:w="2469" w:type="dxa"/>
          </w:tcPr>
          <w:p w14:paraId="275FF69E" w14:textId="77777777" w:rsidR="00E147D6" w:rsidRDefault="00000000">
            <w:r>
              <w:t>Seleucus IV</w:t>
            </w:r>
          </w:p>
        </w:tc>
        <w:tc>
          <w:tcPr>
            <w:tcW w:w="2469" w:type="dxa"/>
          </w:tcPr>
          <w:p w14:paraId="2784D1D5" w14:textId="77777777" w:rsidR="00E147D6" w:rsidRDefault="00000000">
            <w:r>
              <w:t>187–175 BC</w:t>
            </w:r>
          </w:p>
        </w:tc>
        <w:tc>
          <w:tcPr>
            <w:tcW w:w="2469" w:type="dxa"/>
          </w:tcPr>
          <w:p w14:paraId="2D72A854" w14:textId="77777777" w:rsidR="00E147D6" w:rsidRDefault="00000000">
            <w:r>
              <w:t>Fiscal pressure and Temple-treasury episode; sudden death.</w:t>
            </w:r>
          </w:p>
        </w:tc>
      </w:tr>
      <w:tr w:rsidR="00E147D6" w14:paraId="0D38DB54" w14:textId="77777777">
        <w:trPr>
          <w:jc w:val="center"/>
        </w:trPr>
        <w:tc>
          <w:tcPr>
            <w:tcW w:w="2469" w:type="dxa"/>
          </w:tcPr>
          <w:p w14:paraId="65EF3946" w14:textId="77777777" w:rsidR="00E147D6" w:rsidRDefault="00000000">
            <w:r>
              <w:t>11:21–24</w:t>
            </w:r>
          </w:p>
        </w:tc>
        <w:tc>
          <w:tcPr>
            <w:tcW w:w="2469" w:type="dxa"/>
          </w:tcPr>
          <w:p w14:paraId="25751BEE" w14:textId="77777777" w:rsidR="00E147D6" w:rsidRDefault="00000000">
            <w:r>
              <w:t>Antiochus IV Epiphanes</w:t>
            </w:r>
          </w:p>
        </w:tc>
        <w:tc>
          <w:tcPr>
            <w:tcW w:w="2469" w:type="dxa"/>
          </w:tcPr>
          <w:p w14:paraId="18BD49B6" w14:textId="77777777" w:rsidR="00E147D6" w:rsidRDefault="00000000">
            <w:r>
              <w:t>175 BC onward</w:t>
            </w:r>
          </w:p>
        </w:tc>
        <w:tc>
          <w:tcPr>
            <w:tcW w:w="2469" w:type="dxa"/>
          </w:tcPr>
          <w:p w14:paraId="30C19333" w14:textId="77777777" w:rsidR="00E147D6" w:rsidRDefault="00000000">
            <w:r>
              <w:t>Accession through intrigue; consolidation of power.</w:t>
            </w:r>
          </w:p>
        </w:tc>
      </w:tr>
      <w:tr w:rsidR="00E147D6" w14:paraId="41DC0F4E" w14:textId="77777777">
        <w:trPr>
          <w:jc w:val="center"/>
        </w:trPr>
        <w:tc>
          <w:tcPr>
            <w:tcW w:w="2469" w:type="dxa"/>
          </w:tcPr>
          <w:p w14:paraId="5942EA26" w14:textId="77777777" w:rsidR="00E147D6" w:rsidRDefault="00000000">
            <w:r>
              <w:t>11:25–28</w:t>
            </w:r>
          </w:p>
        </w:tc>
        <w:tc>
          <w:tcPr>
            <w:tcW w:w="2469" w:type="dxa"/>
          </w:tcPr>
          <w:p w14:paraId="771D9C54" w14:textId="77777777" w:rsidR="00E147D6" w:rsidRDefault="00000000">
            <w:r>
              <w:t xml:space="preserve">Antiochus IV / Ptolemy </w:t>
            </w:r>
            <w:r>
              <w:lastRenderedPageBreak/>
              <w:t>VI</w:t>
            </w:r>
          </w:p>
        </w:tc>
        <w:tc>
          <w:tcPr>
            <w:tcW w:w="2469" w:type="dxa"/>
          </w:tcPr>
          <w:p w14:paraId="46032B44" w14:textId="77777777" w:rsidR="00E147D6" w:rsidRDefault="00000000">
            <w:r>
              <w:lastRenderedPageBreak/>
              <w:t>170s BC</w:t>
            </w:r>
          </w:p>
        </w:tc>
        <w:tc>
          <w:tcPr>
            <w:tcW w:w="2469" w:type="dxa"/>
          </w:tcPr>
          <w:p w14:paraId="029FA726" w14:textId="77777777" w:rsidR="00E147D6" w:rsidRDefault="00000000">
            <w:r>
              <w:t xml:space="preserve">Egyptian campaigns, deception, hostility </w:t>
            </w:r>
            <w:r>
              <w:lastRenderedPageBreak/>
              <w:t>toward covenant.</w:t>
            </w:r>
          </w:p>
        </w:tc>
      </w:tr>
      <w:tr w:rsidR="00E147D6" w14:paraId="12546FDF" w14:textId="77777777">
        <w:trPr>
          <w:jc w:val="center"/>
        </w:trPr>
        <w:tc>
          <w:tcPr>
            <w:tcW w:w="2469" w:type="dxa"/>
          </w:tcPr>
          <w:p w14:paraId="32440D83" w14:textId="77777777" w:rsidR="00E147D6" w:rsidRDefault="00000000">
            <w:r>
              <w:lastRenderedPageBreak/>
              <w:t>11:29–30</w:t>
            </w:r>
          </w:p>
        </w:tc>
        <w:tc>
          <w:tcPr>
            <w:tcW w:w="2469" w:type="dxa"/>
          </w:tcPr>
          <w:p w14:paraId="77C733D4" w14:textId="77777777" w:rsidR="00E147D6" w:rsidRDefault="00000000">
            <w:r>
              <w:t>Antiochus IV / Roman envoy Popillius</w:t>
            </w:r>
          </w:p>
        </w:tc>
        <w:tc>
          <w:tcPr>
            <w:tcW w:w="2469" w:type="dxa"/>
          </w:tcPr>
          <w:p w14:paraId="301C32AB" w14:textId="77777777" w:rsidR="00E147D6" w:rsidRDefault="00000000">
            <w:r>
              <w:t>168 BC</w:t>
            </w:r>
          </w:p>
        </w:tc>
        <w:tc>
          <w:tcPr>
            <w:tcW w:w="2469" w:type="dxa"/>
          </w:tcPr>
          <w:p w14:paraId="44D09E44" w14:textId="77777777" w:rsidR="00E147D6" w:rsidRDefault="00000000">
            <w:r>
              <w:t>Roman intervention forces withdrawal from Egypt.</w:t>
            </w:r>
          </w:p>
        </w:tc>
      </w:tr>
      <w:tr w:rsidR="00E147D6" w14:paraId="160FDF88" w14:textId="77777777">
        <w:trPr>
          <w:jc w:val="center"/>
        </w:trPr>
        <w:tc>
          <w:tcPr>
            <w:tcW w:w="2469" w:type="dxa"/>
          </w:tcPr>
          <w:p w14:paraId="4C547755" w14:textId="77777777" w:rsidR="00E147D6" w:rsidRDefault="00000000">
            <w:r>
              <w:t>11:31</w:t>
            </w:r>
          </w:p>
        </w:tc>
        <w:tc>
          <w:tcPr>
            <w:tcW w:w="2469" w:type="dxa"/>
          </w:tcPr>
          <w:p w14:paraId="5F72CFFE" w14:textId="77777777" w:rsidR="00E147D6" w:rsidRDefault="00000000">
            <w:r>
              <w:t>Antiochus IV</w:t>
            </w:r>
          </w:p>
        </w:tc>
        <w:tc>
          <w:tcPr>
            <w:tcW w:w="2469" w:type="dxa"/>
          </w:tcPr>
          <w:p w14:paraId="52A2347D" w14:textId="77777777" w:rsidR="00E147D6" w:rsidRDefault="00000000">
            <w:r>
              <w:t>167 BC</w:t>
            </w:r>
          </w:p>
        </w:tc>
        <w:tc>
          <w:tcPr>
            <w:tcW w:w="2469" w:type="dxa"/>
          </w:tcPr>
          <w:p w14:paraId="33C48ADC" w14:textId="77777777" w:rsidR="00E147D6" w:rsidRDefault="00000000">
            <w:r>
              <w:t>Temple desecration; regular sacrifice suppressed.</w:t>
            </w:r>
          </w:p>
        </w:tc>
      </w:tr>
      <w:tr w:rsidR="00E147D6" w14:paraId="4519ADAF" w14:textId="77777777">
        <w:trPr>
          <w:jc w:val="center"/>
        </w:trPr>
        <w:tc>
          <w:tcPr>
            <w:tcW w:w="2469" w:type="dxa"/>
          </w:tcPr>
          <w:p w14:paraId="79FF346D" w14:textId="77777777" w:rsidR="00E147D6" w:rsidRDefault="00000000">
            <w:r>
              <w:t>11:32–35</w:t>
            </w:r>
          </w:p>
        </w:tc>
        <w:tc>
          <w:tcPr>
            <w:tcW w:w="2469" w:type="dxa"/>
          </w:tcPr>
          <w:p w14:paraId="4E8B3980" w14:textId="77777777" w:rsidR="00E147D6" w:rsidRDefault="00000000">
            <w:r>
              <w:t>Faithful Jews / Maccabean era</w:t>
            </w:r>
          </w:p>
        </w:tc>
        <w:tc>
          <w:tcPr>
            <w:tcW w:w="2469" w:type="dxa"/>
          </w:tcPr>
          <w:p w14:paraId="4E29BFBC" w14:textId="77777777" w:rsidR="00E147D6" w:rsidRDefault="00000000">
            <w:r>
              <w:t>167–164 BC and after</w:t>
            </w:r>
          </w:p>
        </w:tc>
        <w:tc>
          <w:tcPr>
            <w:tcW w:w="2469" w:type="dxa"/>
          </w:tcPr>
          <w:p w14:paraId="32AD8024" w14:textId="77777777" w:rsidR="00E147D6" w:rsidRDefault="00000000">
            <w:r>
              <w:t>Persecution, resistance, instruction, refinement.</w:t>
            </w:r>
          </w:p>
        </w:tc>
      </w:tr>
    </w:tbl>
    <w:p w14:paraId="0528ECCB" w14:textId="77777777" w:rsidR="00E147D6" w:rsidRDefault="00000000">
      <w:pPr>
        <w:pStyle w:val="Heading1"/>
      </w:pPr>
      <w:r>
        <w:t>XVII. Lexical and Semantic Observations</w:t>
      </w:r>
    </w:p>
    <w:tbl>
      <w:tblPr>
        <w:tblStyle w:val="TableGrid"/>
        <w:tblW w:w="0" w:type="auto"/>
        <w:jc w:val="center"/>
        <w:tblLook w:val="04A0" w:firstRow="1" w:lastRow="0" w:firstColumn="1" w:lastColumn="0" w:noHBand="0" w:noVBand="1"/>
      </w:tblPr>
      <w:tblGrid>
        <w:gridCol w:w="2466"/>
        <w:gridCol w:w="2467"/>
        <w:gridCol w:w="2467"/>
        <w:gridCol w:w="2468"/>
      </w:tblGrid>
      <w:tr w:rsidR="00E147D6" w14:paraId="35E7F9AC" w14:textId="77777777">
        <w:trPr>
          <w:jc w:val="center"/>
        </w:trPr>
        <w:tc>
          <w:tcPr>
            <w:tcW w:w="2469" w:type="dxa"/>
          </w:tcPr>
          <w:p w14:paraId="0E10CF89" w14:textId="77777777" w:rsidR="00E147D6" w:rsidRDefault="00000000">
            <w:r>
              <w:t>Hebrew</w:t>
            </w:r>
          </w:p>
        </w:tc>
        <w:tc>
          <w:tcPr>
            <w:tcW w:w="2469" w:type="dxa"/>
          </w:tcPr>
          <w:p w14:paraId="35F67F8E" w14:textId="77777777" w:rsidR="00E147D6" w:rsidRDefault="00000000">
            <w:r>
              <w:t>Transliteration</w:t>
            </w:r>
          </w:p>
        </w:tc>
        <w:tc>
          <w:tcPr>
            <w:tcW w:w="2469" w:type="dxa"/>
          </w:tcPr>
          <w:p w14:paraId="4C883AAF" w14:textId="77777777" w:rsidR="00E147D6" w:rsidRDefault="00000000">
            <w:r>
              <w:t>Sense</w:t>
            </w:r>
          </w:p>
        </w:tc>
        <w:tc>
          <w:tcPr>
            <w:tcW w:w="2469" w:type="dxa"/>
          </w:tcPr>
          <w:p w14:paraId="21402C16" w14:textId="77777777" w:rsidR="00E147D6" w:rsidRDefault="00000000">
            <w:r>
              <w:t>Expositional Importance</w:t>
            </w:r>
          </w:p>
        </w:tc>
      </w:tr>
      <w:tr w:rsidR="00E147D6" w14:paraId="3BC59D58" w14:textId="77777777">
        <w:trPr>
          <w:jc w:val="center"/>
        </w:trPr>
        <w:tc>
          <w:tcPr>
            <w:tcW w:w="2469" w:type="dxa"/>
          </w:tcPr>
          <w:p w14:paraId="1F61FF5F" w14:textId="77777777" w:rsidR="00E147D6" w:rsidRDefault="00000000">
            <w:r>
              <w:t>מֶלֶךְ</w:t>
            </w:r>
          </w:p>
        </w:tc>
        <w:tc>
          <w:tcPr>
            <w:tcW w:w="2469" w:type="dxa"/>
          </w:tcPr>
          <w:p w14:paraId="0D8EA8B8" w14:textId="77777777" w:rsidR="00E147D6" w:rsidRDefault="00000000">
            <w:r>
              <w:t>melekh</w:t>
            </w:r>
          </w:p>
        </w:tc>
        <w:tc>
          <w:tcPr>
            <w:tcW w:w="2469" w:type="dxa"/>
          </w:tcPr>
          <w:p w14:paraId="34EB6014" w14:textId="77777777" w:rsidR="00E147D6" w:rsidRDefault="00000000">
            <w:r>
              <w:t>king</w:t>
            </w:r>
          </w:p>
        </w:tc>
        <w:tc>
          <w:tcPr>
            <w:tcW w:w="2469" w:type="dxa"/>
          </w:tcPr>
          <w:p w14:paraId="44D1B2D0" w14:textId="77777777" w:rsidR="00E147D6" w:rsidRDefault="00000000">
            <w:r>
              <w:t>Repeated title emphasizes the human rulers who appear dominant but remain temporary.</w:t>
            </w:r>
          </w:p>
        </w:tc>
      </w:tr>
      <w:tr w:rsidR="00E147D6" w14:paraId="16EBFEE9" w14:textId="77777777">
        <w:trPr>
          <w:jc w:val="center"/>
        </w:trPr>
        <w:tc>
          <w:tcPr>
            <w:tcW w:w="2469" w:type="dxa"/>
          </w:tcPr>
          <w:p w14:paraId="27321342" w14:textId="77777777" w:rsidR="00E147D6" w:rsidRDefault="00000000">
            <w:r>
              <w:t>צָפוֹן</w:t>
            </w:r>
          </w:p>
        </w:tc>
        <w:tc>
          <w:tcPr>
            <w:tcW w:w="2469" w:type="dxa"/>
          </w:tcPr>
          <w:p w14:paraId="4719A018" w14:textId="77777777" w:rsidR="00E147D6" w:rsidRDefault="00000000">
            <w:r>
              <w:t>ṣāp̄ôn</w:t>
            </w:r>
          </w:p>
        </w:tc>
        <w:tc>
          <w:tcPr>
            <w:tcW w:w="2469" w:type="dxa"/>
          </w:tcPr>
          <w:p w14:paraId="3D1F9FBF" w14:textId="77777777" w:rsidR="00E147D6" w:rsidRDefault="00000000">
            <w:r>
              <w:t>north</w:t>
            </w:r>
          </w:p>
        </w:tc>
        <w:tc>
          <w:tcPr>
            <w:tcW w:w="2469" w:type="dxa"/>
          </w:tcPr>
          <w:p w14:paraId="014032DD" w14:textId="77777777" w:rsidR="00E147D6" w:rsidRDefault="00000000">
            <w:r>
              <w:t>In Daniel 11, the Seleucid sphere north of Judea.</w:t>
            </w:r>
          </w:p>
        </w:tc>
      </w:tr>
      <w:tr w:rsidR="00E147D6" w14:paraId="44B3EC90" w14:textId="77777777">
        <w:trPr>
          <w:jc w:val="center"/>
        </w:trPr>
        <w:tc>
          <w:tcPr>
            <w:tcW w:w="2469" w:type="dxa"/>
          </w:tcPr>
          <w:p w14:paraId="769EF414" w14:textId="77777777" w:rsidR="00E147D6" w:rsidRDefault="00000000">
            <w:r>
              <w:t>נֶגֶב</w:t>
            </w:r>
          </w:p>
        </w:tc>
        <w:tc>
          <w:tcPr>
            <w:tcW w:w="2469" w:type="dxa"/>
          </w:tcPr>
          <w:p w14:paraId="4B069AE3" w14:textId="77777777" w:rsidR="00E147D6" w:rsidRDefault="00000000">
            <w:r>
              <w:t>negeb</w:t>
            </w:r>
          </w:p>
        </w:tc>
        <w:tc>
          <w:tcPr>
            <w:tcW w:w="2469" w:type="dxa"/>
          </w:tcPr>
          <w:p w14:paraId="5770E32F" w14:textId="77777777" w:rsidR="00E147D6" w:rsidRDefault="00000000">
            <w:r>
              <w:t>south</w:t>
            </w:r>
          </w:p>
        </w:tc>
        <w:tc>
          <w:tcPr>
            <w:tcW w:w="2469" w:type="dxa"/>
          </w:tcPr>
          <w:p w14:paraId="20C8716B" w14:textId="77777777" w:rsidR="00E147D6" w:rsidRDefault="00000000">
            <w:r>
              <w:t>The Ptolemaic Egyptian sphere south of Judea.</w:t>
            </w:r>
          </w:p>
        </w:tc>
      </w:tr>
      <w:tr w:rsidR="00E147D6" w14:paraId="5EED4E2B" w14:textId="77777777">
        <w:trPr>
          <w:jc w:val="center"/>
        </w:trPr>
        <w:tc>
          <w:tcPr>
            <w:tcW w:w="2469" w:type="dxa"/>
          </w:tcPr>
          <w:p w14:paraId="45873038" w14:textId="77777777" w:rsidR="00E147D6" w:rsidRDefault="00000000">
            <w:r>
              <w:t>נִבְזֶה</w:t>
            </w:r>
          </w:p>
        </w:tc>
        <w:tc>
          <w:tcPr>
            <w:tcW w:w="2469" w:type="dxa"/>
          </w:tcPr>
          <w:p w14:paraId="6E51C15D" w14:textId="77777777" w:rsidR="00E147D6" w:rsidRDefault="00000000">
            <w:r>
              <w:t>nibzeh</w:t>
            </w:r>
          </w:p>
        </w:tc>
        <w:tc>
          <w:tcPr>
            <w:tcW w:w="2469" w:type="dxa"/>
          </w:tcPr>
          <w:p w14:paraId="5173F1A3" w14:textId="77777777" w:rsidR="00E147D6" w:rsidRDefault="00000000">
            <w:r>
              <w:t>despised, contemptible</w:t>
            </w:r>
          </w:p>
        </w:tc>
        <w:tc>
          <w:tcPr>
            <w:tcW w:w="2469" w:type="dxa"/>
          </w:tcPr>
          <w:p w14:paraId="6809E6EF" w14:textId="77777777" w:rsidR="00E147D6" w:rsidRDefault="00000000">
            <w:r>
              <w:t>Moral characterization of Antiochus IV in 11:21.</w:t>
            </w:r>
          </w:p>
        </w:tc>
      </w:tr>
      <w:tr w:rsidR="00E147D6" w14:paraId="4CC74489" w14:textId="77777777">
        <w:trPr>
          <w:jc w:val="center"/>
        </w:trPr>
        <w:tc>
          <w:tcPr>
            <w:tcW w:w="2469" w:type="dxa"/>
          </w:tcPr>
          <w:p w14:paraId="50DC9E50" w14:textId="77777777" w:rsidR="00E147D6" w:rsidRDefault="00000000">
            <w:r>
              <w:t>חֲלַקְלַקּוֹת</w:t>
            </w:r>
          </w:p>
        </w:tc>
        <w:tc>
          <w:tcPr>
            <w:tcW w:w="2469" w:type="dxa"/>
          </w:tcPr>
          <w:p w14:paraId="3AB242F9" w14:textId="77777777" w:rsidR="00E147D6" w:rsidRDefault="00000000">
            <w:r>
              <w:t>ḥălaqlaqqôt</w:t>
            </w:r>
          </w:p>
        </w:tc>
        <w:tc>
          <w:tcPr>
            <w:tcW w:w="2469" w:type="dxa"/>
          </w:tcPr>
          <w:p w14:paraId="63C0111D" w14:textId="77777777" w:rsidR="00E147D6" w:rsidRDefault="00000000">
            <w:r>
              <w:t>smoothness, flattery</w:t>
            </w:r>
          </w:p>
        </w:tc>
        <w:tc>
          <w:tcPr>
            <w:tcW w:w="2469" w:type="dxa"/>
          </w:tcPr>
          <w:p w14:paraId="5A5D6A63" w14:textId="77777777" w:rsidR="00E147D6" w:rsidRDefault="00000000">
            <w:r>
              <w:t>Describes deceptive persuasion used to corrupt covenant compromisers.</w:t>
            </w:r>
          </w:p>
        </w:tc>
      </w:tr>
      <w:tr w:rsidR="00E147D6" w14:paraId="1639AF54" w14:textId="77777777">
        <w:trPr>
          <w:jc w:val="center"/>
        </w:trPr>
        <w:tc>
          <w:tcPr>
            <w:tcW w:w="2469" w:type="dxa"/>
          </w:tcPr>
          <w:p w14:paraId="139D1D2E" w14:textId="77777777" w:rsidR="00E147D6" w:rsidRDefault="00000000">
            <w:r>
              <w:t>בְּרִית</w:t>
            </w:r>
          </w:p>
        </w:tc>
        <w:tc>
          <w:tcPr>
            <w:tcW w:w="2469" w:type="dxa"/>
          </w:tcPr>
          <w:p w14:paraId="0D752649" w14:textId="77777777" w:rsidR="00E147D6" w:rsidRDefault="00000000">
            <w:r>
              <w:t>bĕrît</w:t>
            </w:r>
          </w:p>
        </w:tc>
        <w:tc>
          <w:tcPr>
            <w:tcW w:w="2469" w:type="dxa"/>
          </w:tcPr>
          <w:p w14:paraId="624A7750" w14:textId="77777777" w:rsidR="00E147D6" w:rsidRDefault="00000000">
            <w:r>
              <w:t>covenant</w:t>
            </w:r>
          </w:p>
        </w:tc>
        <w:tc>
          <w:tcPr>
            <w:tcW w:w="2469" w:type="dxa"/>
          </w:tcPr>
          <w:p w14:paraId="5DD02C20" w14:textId="77777777" w:rsidR="00E147D6" w:rsidRDefault="00000000">
            <w:r>
              <w:t>The “holy covenant” becomes a central object of Antiochus’s hostility.</w:t>
            </w:r>
          </w:p>
        </w:tc>
      </w:tr>
      <w:tr w:rsidR="00E147D6" w14:paraId="0B122DDE" w14:textId="77777777">
        <w:trPr>
          <w:jc w:val="center"/>
        </w:trPr>
        <w:tc>
          <w:tcPr>
            <w:tcW w:w="2469" w:type="dxa"/>
          </w:tcPr>
          <w:p w14:paraId="3E07EBFA" w14:textId="77777777" w:rsidR="00E147D6" w:rsidRDefault="00000000">
            <w:r>
              <w:t>תָּמִיד</w:t>
            </w:r>
          </w:p>
        </w:tc>
        <w:tc>
          <w:tcPr>
            <w:tcW w:w="2469" w:type="dxa"/>
          </w:tcPr>
          <w:p w14:paraId="50F4B414" w14:textId="77777777" w:rsidR="00E147D6" w:rsidRDefault="00000000">
            <w:r>
              <w:t>tāmîd</w:t>
            </w:r>
          </w:p>
        </w:tc>
        <w:tc>
          <w:tcPr>
            <w:tcW w:w="2469" w:type="dxa"/>
          </w:tcPr>
          <w:p w14:paraId="56AD506F" w14:textId="77777777" w:rsidR="00E147D6" w:rsidRDefault="00000000">
            <w:r>
              <w:t>regular, continual</w:t>
            </w:r>
          </w:p>
        </w:tc>
        <w:tc>
          <w:tcPr>
            <w:tcW w:w="2469" w:type="dxa"/>
          </w:tcPr>
          <w:p w14:paraId="51F3A51D" w14:textId="77777777" w:rsidR="00E147D6" w:rsidRDefault="00000000">
            <w:r>
              <w:t>The regular sanctuary offering abolished in 11:31.</w:t>
            </w:r>
          </w:p>
        </w:tc>
      </w:tr>
      <w:tr w:rsidR="00E147D6" w14:paraId="724DCBC7" w14:textId="77777777">
        <w:trPr>
          <w:jc w:val="center"/>
        </w:trPr>
        <w:tc>
          <w:tcPr>
            <w:tcW w:w="2469" w:type="dxa"/>
          </w:tcPr>
          <w:p w14:paraId="53765971" w14:textId="77777777" w:rsidR="00E147D6" w:rsidRDefault="00000000">
            <w:r>
              <w:t>שִׁקּוּץ</w:t>
            </w:r>
          </w:p>
        </w:tc>
        <w:tc>
          <w:tcPr>
            <w:tcW w:w="2469" w:type="dxa"/>
          </w:tcPr>
          <w:p w14:paraId="7E521BF0" w14:textId="77777777" w:rsidR="00E147D6" w:rsidRDefault="00000000">
            <w:r>
              <w:t>šiqqûṣ</w:t>
            </w:r>
          </w:p>
        </w:tc>
        <w:tc>
          <w:tcPr>
            <w:tcW w:w="2469" w:type="dxa"/>
          </w:tcPr>
          <w:p w14:paraId="2F06C8DD" w14:textId="77777777" w:rsidR="00E147D6" w:rsidRDefault="00000000">
            <w:r>
              <w:t>abomination, detestable thing</w:t>
            </w:r>
          </w:p>
        </w:tc>
        <w:tc>
          <w:tcPr>
            <w:tcW w:w="2469" w:type="dxa"/>
          </w:tcPr>
          <w:p w14:paraId="325497BC" w14:textId="77777777" w:rsidR="00E147D6" w:rsidRDefault="00000000">
            <w:r>
              <w:t>Often associated with idolatrous objects or practices.</w:t>
            </w:r>
          </w:p>
        </w:tc>
      </w:tr>
      <w:tr w:rsidR="00E147D6" w14:paraId="3308EA5A" w14:textId="77777777">
        <w:trPr>
          <w:jc w:val="center"/>
        </w:trPr>
        <w:tc>
          <w:tcPr>
            <w:tcW w:w="2469" w:type="dxa"/>
          </w:tcPr>
          <w:p w14:paraId="2D8F923F" w14:textId="77777777" w:rsidR="00E147D6" w:rsidRDefault="00000000">
            <w:r>
              <w:t>מְשֹׁמֵם</w:t>
            </w:r>
          </w:p>
        </w:tc>
        <w:tc>
          <w:tcPr>
            <w:tcW w:w="2469" w:type="dxa"/>
          </w:tcPr>
          <w:p w14:paraId="77EA4596" w14:textId="77777777" w:rsidR="00E147D6" w:rsidRDefault="00000000">
            <w:r>
              <w:t>mĕšōmēm</w:t>
            </w:r>
          </w:p>
        </w:tc>
        <w:tc>
          <w:tcPr>
            <w:tcW w:w="2469" w:type="dxa"/>
          </w:tcPr>
          <w:p w14:paraId="717C8F5D" w14:textId="77777777" w:rsidR="00E147D6" w:rsidRDefault="00000000">
            <w:r>
              <w:t>desolating, causing horror</w:t>
            </w:r>
          </w:p>
        </w:tc>
        <w:tc>
          <w:tcPr>
            <w:tcW w:w="2469" w:type="dxa"/>
          </w:tcPr>
          <w:p w14:paraId="5294D700" w14:textId="77777777" w:rsidR="00E147D6" w:rsidRDefault="00000000">
            <w:r>
              <w:t>Forms the expression “abomination of desolation.”</w:t>
            </w:r>
          </w:p>
        </w:tc>
      </w:tr>
      <w:tr w:rsidR="00E147D6" w14:paraId="07F0570A" w14:textId="77777777">
        <w:trPr>
          <w:jc w:val="center"/>
        </w:trPr>
        <w:tc>
          <w:tcPr>
            <w:tcW w:w="2469" w:type="dxa"/>
          </w:tcPr>
          <w:p w14:paraId="78133FE1" w14:textId="77777777" w:rsidR="00E147D6" w:rsidRDefault="00000000">
            <w:r>
              <w:lastRenderedPageBreak/>
              <w:t>יָדַע</w:t>
            </w:r>
          </w:p>
        </w:tc>
        <w:tc>
          <w:tcPr>
            <w:tcW w:w="2469" w:type="dxa"/>
          </w:tcPr>
          <w:p w14:paraId="15869BFE" w14:textId="77777777" w:rsidR="00E147D6" w:rsidRDefault="00000000">
            <w:r>
              <w:t>yādaʿ</w:t>
            </w:r>
          </w:p>
        </w:tc>
        <w:tc>
          <w:tcPr>
            <w:tcW w:w="2469" w:type="dxa"/>
          </w:tcPr>
          <w:p w14:paraId="681B1F7C" w14:textId="77777777" w:rsidR="00E147D6" w:rsidRDefault="00000000">
            <w:r>
              <w:t>know</w:t>
            </w:r>
          </w:p>
        </w:tc>
        <w:tc>
          <w:tcPr>
            <w:tcW w:w="2469" w:type="dxa"/>
          </w:tcPr>
          <w:p w14:paraId="7393CB6F" w14:textId="77777777" w:rsidR="00E147D6" w:rsidRDefault="00000000">
            <w:r>
              <w:t>Those who know their God remain faithful and act.</w:t>
            </w:r>
          </w:p>
        </w:tc>
      </w:tr>
      <w:tr w:rsidR="00E147D6" w14:paraId="3DFBA374" w14:textId="77777777">
        <w:trPr>
          <w:jc w:val="center"/>
        </w:trPr>
        <w:tc>
          <w:tcPr>
            <w:tcW w:w="2469" w:type="dxa"/>
          </w:tcPr>
          <w:p w14:paraId="2A47DBE6" w14:textId="77777777" w:rsidR="00E147D6" w:rsidRDefault="00000000">
            <w:r>
              <w:t>שָׂכַל</w:t>
            </w:r>
          </w:p>
        </w:tc>
        <w:tc>
          <w:tcPr>
            <w:tcW w:w="2469" w:type="dxa"/>
          </w:tcPr>
          <w:p w14:paraId="21CBC20D" w14:textId="77777777" w:rsidR="00E147D6" w:rsidRDefault="00000000">
            <w:r>
              <w:t>śākal</w:t>
            </w:r>
          </w:p>
        </w:tc>
        <w:tc>
          <w:tcPr>
            <w:tcW w:w="2469" w:type="dxa"/>
          </w:tcPr>
          <w:p w14:paraId="20E028BE" w14:textId="77777777" w:rsidR="00E147D6" w:rsidRDefault="00000000">
            <w:r>
              <w:t>have insight, act wisely</w:t>
            </w:r>
          </w:p>
        </w:tc>
        <w:tc>
          <w:tcPr>
            <w:tcW w:w="2469" w:type="dxa"/>
          </w:tcPr>
          <w:p w14:paraId="5287C775" w14:textId="77777777" w:rsidR="00E147D6" w:rsidRDefault="00000000">
            <w:r>
              <w:t>Characterizes teachers who help the community understand during persecution.</w:t>
            </w:r>
          </w:p>
        </w:tc>
      </w:tr>
      <w:tr w:rsidR="00E147D6" w14:paraId="5606D9A9" w14:textId="77777777">
        <w:trPr>
          <w:jc w:val="center"/>
        </w:trPr>
        <w:tc>
          <w:tcPr>
            <w:tcW w:w="2469" w:type="dxa"/>
          </w:tcPr>
          <w:p w14:paraId="79BA6BB5" w14:textId="77777777" w:rsidR="00E147D6" w:rsidRDefault="00000000">
            <w:r>
              <w:t>מוֹעֵד</w:t>
            </w:r>
          </w:p>
        </w:tc>
        <w:tc>
          <w:tcPr>
            <w:tcW w:w="2469" w:type="dxa"/>
          </w:tcPr>
          <w:p w14:paraId="7FC30565" w14:textId="77777777" w:rsidR="00E147D6" w:rsidRDefault="00000000">
            <w:r>
              <w:t>môʿēd</w:t>
            </w:r>
          </w:p>
        </w:tc>
        <w:tc>
          <w:tcPr>
            <w:tcW w:w="2469" w:type="dxa"/>
          </w:tcPr>
          <w:p w14:paraId="77B303A0" w14:textId="77777777" w:rsidR="00E147D6" w:rsidRDefault="00000000">
            <w:r>
              <w:t>appointed time</w:t>
            </w:r>
          </w:p>
        </w:tc>
        <w:tc>
          <w:tcPr>
            <w:tcW w:w="2469" w:type="dxa"/>
          </w:tcPr>
          <w:p w14:paraId="299F0EC8" w14:textId="77777777" w:rsidR="00E147D6" w:rsidRDefault="00000000">
            <w:r>
              <w:t>Repeated reminder that history moves toward limits established by God.</w:t>
            </w:r>
          </w:p>
        </w:tc>
      </w:tr>
    </w:tbl>
    <w:p w14:paraId="5FD8FB6A" w14:textId="77777777" w:rsidR="00E147D6" w:rsidRDefault="00000000">
      <w:pPr>
        <w:pStyle w:val="Heading1"/>
      </w:pPr>
      <w:r>
        <w:t>XVIII. Extrabiblical Sources and What They Contribute</w:t>
      </w:r>
    </w:p>
    <w:p w14:paraId="2231F53D" w14:textId="77777777" w:rsidR="00E147D6" w:rsidRDefault="00000000">
      <w:pPr>
        <w:pStyle w:val="Heading2"/>
      </w:pPr>
      <w:r>
        <w:t>Polybius</w:t>
      </w:r>
    </w:p>
    <w:p w14:paraId="7199F5EE" w14:textId="77777777" w:rsidR="00E147D6" w:rsidRDefault="00000000">
      <w:r>
        <w:t>Polybius is particularly valuable for the Hellenistic political world because he wrote relatively close to many of the events described. His Histories illuminate the Seleucid and Ptolemaic kingdoms, Antiochus III’s conflict with Rome, and the famous confrontation between Antiochus IV and Popillius Laenas in Egypt.</w:t>
      </w:r>
    </w:p>
    <w:p w14:paraId="3A7CA452" w14:textId="77777777" w:rsidR="00E147D6" w:rsidRDefault="00000000">
      <w:r>
        <w:t>Polybius writes as a Greek historian with his own political interests and should be evaluated critically, but his testimony provides strong independent context for the international events reflected in Daniel 11.</w:t>
      </w:r>
    </w:p>
    <w:p w14:paraId="5AB8B72D" w14:textId="77777777" w:rsidR="00E147D6" w:rsidRDefault="00000000">
      <w:pPr>
        <w:pStyle w:val="Heading2"/>
      </w:pPr>
      <w:r>
        <w:t>1 and 2 Maccabees</w:t>
      </w:r>
    </w:p>
    <w:p w14:paraId="7B582DEF" w14:textId="77777777" w:rsidR="00E147D6" w:rsidRDefault="00000000">
      <w:r>
        <w:t>First Maccabees is indispensable for the Antiochene persecution, the decrees against Jewish practices, the abomination, the revolt led by Mattathias and Judas Maccabeus, and the rededication of the Temple. Second Maccabees covers overlapping history with a different literary and theological emphasis, including the high-priestly conflicts, martyrdom traditions, and Antiochus’s actions in Jerusalem.</w:t>
      </w:r>
    </w:p>
    <w:p w14:paraId="00E71BF2" w14:textId="77777777" w:rsidR="00E147D6" w:rsidRDefault="00000000">
      <w:r>
        <w:t>These books are especially valuable because they allow us to hear Jewish interpretations of the crisis from relatively near the period itself. They also reveal that the conflict was not merely Jew versus Greek. Internal Jewish accommodation and rivalry formed part of the crisis.</w:t>
      </w:r>
    </w:p>
    <w:p w14:paraId="3D27B89A" w14:textId="77777777" w:rsidR="00E147D6" w:rsidRDefault="00000000">
      <w:pPr>
        <w:pStyle w:val="Heading2"/>
      </w:pPr>
      <w:r>
        <w:t>Josephus</w:t>
      </w:r>
    </w:p>
    <w:p w14:paraId="37E1D3CC" w14:textId="77777777" w:rsidR="00E147D6" w:rsidRDefault="00000000">
      <w:r>
        <w:t>Josephus retells much of the Hellenistic and Maccabean history in Antiquities of the Jews, Book 12. He writes much later than the events and often depends upon earlier sources, including material related to 1 Maccabees. His account is therefore useful but should not be treated as independent confirmation at every point.</w:t>
      </w:r>
    </w:p>
    <w:p w14:paraId="6D8714F8" w14:textId="77777777" w:rsidR="00E147D6" w:rsidRDefault="00000000">
      <w:r>
        <w:t>Josephus is particularly interesting because he explicitly connects Daniel with the events surrounding Antiochus and elsewhere presents Daniel as a prophet who foretold future political developments. His interpretation demonstrates that Jewish readers in antiquity understood Daniel as deeply connected with Hellenistic history.</w:t>
      </w:r>
    </w:p>
    <w:p w14:paraId="723C6274" w14:textId="77777777" w:rsidR="00E147D6" w:rsidRDefault="00000000">
      <w:pPr>
        <w:pStyle w:val="Heading2"/>
      </w:pPr>
      <w:r>
        <w:t>Appian and Livy</w:t>
      </w:r>
    </w:p>
    <w:p w14:paraId="1199FFCB" w14:textId="77777777" w:rsidR="00E147D6" w:rsidRDefault="00000000">
      <w:r>
        <w:t>Appian’s Syrian Wars and Livy’s Roman history preserve additional information about Seleucid relations with Rome, Antiochus III, the Treaty of Apamea, and Roman intervention in the eastern Mediterranean. Used alongside Polybius, they help reconstruct the larger geopolitical world in which Daniel 11’s northern kingdom operated.</w:t>
      </w:r>
    </w:p>
    <w:p w14:paraId="5BF6C7C4" w14:textId="77777777" w:rsidR="00E147D6" w:rsidRDefault="00000000">
      <w:pPr>
        <w:pStyle w:val="Heading1"/>
      </w:pPr>
      <w:r>
        <w:lastRenderedPageBreak/>
        <w:t>XIX. The Date of Daniel and the Accuracy of Chapter 11</w:t>
      </w:r>
    </w:p>
    <w:p w14:paraId="255A8CD0" w14:textId="77777777" w:rsidR="00E147D6" w:rsidRDefault="00000000">
      <w:r>
        <w:t>No responsible study of Daniel 11 should ignore the role this chapter plays in debates over the date of the book. Critical scholarship commonly argues that the extraordinary accuracy of Daniel 11:2–35 reflects composition during the Antiochene crisis in the second century BC. In this reconstruction, the author writes history in prophetic form—often called vaticinium ex eventu, “prophecy after the event”—and then attempts to predict Antiochus’s final actions in verses 40–45, where the correspondence with known history appears to break down.</w:t>
      </w:r>
    </w:p>
    <w:p w14:paraId="1DD8BC8A" w14:textId="77777777" w:rsidR="00E147D6" w:rsidRDefault="00000000">
      <w:r>
        <w:t>Traditional Jewish and Christian readings accept the book’s own presentation of Daniel as a sixth-century figure and therefore understand the historical specificity as genuine predictive prophecy. The existence of predictive prophecy cannot be ruled out merely by a philosophical assumption that detailed foreknowledge is impossible.</w:t>
      </w:r>
    </w:p>
    <w:p w14:paraId="1EC5BDB8" w14:textId="77777777" w:rsidR="00E147D6" w:rsidRDefault="00000000">
      <w:r>
        <w:t>At the same time, conservative interpretation should not respond to critical scholarship by overstating evidence. Questions of language, manuscript history, historical references, literary development, and canon deserve serious examination. The earliest surviving manuscripts of Daniel among the Dead Sea Scrolls demonstrate that the book was already copied and treated as authoritative in the Second Temple period, but manuscript evidence by itself does not prove a sixth-century date.</w:t>
      </w:r>
    </w:p>
    <w:p w14:paraId="230C0F8A" w14:textId="77777777" w:rsidR="00E147D6" w:rsidRDefault="00000000">
      <w:r>
        <w:t>Our expositional purpose is not to settle the entire academic dating debate inside one chapter. It is to make the methodological issue visible. If divine revelation is possible, historical specificity cannot itself be evidence against an early date. Conversely, commitment to an early date does not relieve us of the responsibility to examine historical and textual questions carefully.</w:t>
      </w:r>
    </w:p>
    <w:p w14:paraId="20BCF6DA" w14:textId="77777777" w:rsidR="00E147D6" w:rsidRDefault="00000000">
      <w:pPr>
        <w:pStyle w:val="Heading1"/>
      </w:pPr>
      <w:r>
        <w:t>XX. Canonical Hermeneutics: Daniel 11 beyond Antiochus</w:t>
      </w:r>
    </w:p>
    <w:p w14:paraId="0C56DB3F" w14:textId="77777777" w:rsidR="00E147D6" w:rsidRDefault="00000000">
      <w:pPr>
        <w:pStyle w:val="Heading2"/>
      </w:pPr>
      <w:r>
        <w:t>Daniel 7 and 8</w:t>
      </w:r>
    </w:p>
    <w:p w14:paraId="7B25AF63" w14:textId="77777777" w:rsidR="00E147D6" w:rsidRDefault="00000000">
      <w:r>
        <w:t>The arrogant king of Daniel 11 belongs to a pattern already established by the little horns of chapters 7 and 8. He prospers, speaks arrogantly, attacks the holy people, interferes with worship, and ultimately reaches an appointed end. Daniel’s visions increasingly teach the reader to recognize the spiritual character of imperial self-exaltation.</w:t>
      </w:r>
    </w:p>
    <w:p w14:paraId="6FC66F4F" w14:textId="77777777" w:rsidR="00E147D6" w:rsidRDefault="00000000">
      <w:pPr>
        <w:pStyle w:val="Heading2"/>
      </w:pPr>
      <w:r>
        <w:t>Matthew 24 and Mark 13</w:t>
      </w:r>
    </w:p>
    <w:p w14:paraId="2AA91DC4" w14:textId="77777777" w:rsidR="00E147D6" w:rsidRDefault="00000000">
      <w:r>
        <w:t>Jesus explicitly invokes “the abomination of desolation which was spoken of through Daniel the prophet” when describing a crisis future to His own ministry (Matthew 24:15; Mark 13:14). Because Antiochus’s desecration had already occurred, Jesus’ use proves that the Danielic pattern remained prophetically meaningful beyond its second-century historical embodiment.</w:t>
      </w:r>
    </w:p>
    <w:p w14:paraId="34E7A99E" w14:textId="77777777" w:rsidR="00E147D6" w:rsidRDefault="00000000">
      <w:r>
        <w:t>The first-century destruction of Jerusalem under Rome belongs naturally within that horizon, especially in light of Luke 21:20–24. Whether Jesus’ discourse also reaches beyond AD 70 toward a final crisis remains debated, but the canonical reuse of Daniel is itself undeniable.</w:t>
      </w:r>
    </w:p>
    <w:p w14:paraId="3662DBD4" w14:textId="77777777" w:rsidR="00E147D6" w:rsidRDefault="00000000">
      <w:pPr>
        <w:pStyle w:val="Heading2"/>
      </w:pPr>
      <w:r>
        <w:t>2 Thessalonians 2</w:t>
      </w:r>
    </w:p>
    <w:p w14:paraId="09982E28" w14:textId="77777777" w:rsidR="00E147D6" w:rsidRDefault="00000000">
      <w:r>
        <w:t>Paul describes a “man of lawlessness” who exalts himself above every so-called god or object of worship and displays himself as God (2 Thessalonians 2:3–4). The conceptual and verbal relationship to Daniel 11:36 is strong.</w:t>
      </w:r>
    </w:p>
    <w:p w14:paraId="2E2F7BB7" w14:textId="77777777" w:rsidR="00E147D6" w:rsidRDefault="00000000">
      <w:r>
        <w:t>Paul therefore reads Danielic self-exaltation as part of the grammar for describing a climactic opponent. This strengthens the argument that Antiochus functions canonically as more than an isolated ancient tyrant. His pattern becomes a template for understanding later and possibly final opposition to God.</w:t>
      </w:r>
    </w:p>
    <w:p w14:paraId="6EA9E462" w14:textId="77777777" w:rsidR="00E147D6" w:rsidRDefault="00000000">
      <w:pPr>
        <w:pStyle w:val="Heading2"/>
      </w:pPr>
      <w:r>
        <w:lastRenderedPageBreak/>
        <w:t>Revelation 13 and 17</w:t>
      </w:r>
    </w:p>
    <w:p w14:paraId="06AB79B1" w14:textId="77777777" w:rsidR="00E147D6" w:rsidRDefault="00000000">
      <w:r>
        <w:t>Revelation draws heavily upon Daniel’s beast imagery and develops the themes of blasphemous political power, persecution of the saints, deceptive allegiance, and worship. Revelation does not simply reproduce Antiochus’s history. It takes Daniel’s theological portrait of empire and applies it to a later and climactic horizon.</w:t>
      </w:r>
    </w:p>
    <w:p w14:paraId="7B6838F7" w14:textId="77777777" w:rsidR="00E147D6" w:rsidRDefault="00000000">
      <w:r>
        <w:t>The canonical trajectory is therefore consistent: historical empires embody patterns of rebellion that can recur, intensify, and ultimately culminate. Typology does not make the historical referent unreal; it makes the historical referent instructive.</w:t>
      </w:r>
    </w:p>
    <w:p w14:paraId="685E4860" w14:textId="77777777" w:rsidR="00E147D6" w:rsidRDefault="00000000">
      <w:pPr>
        <w:pStyle w:val="Heading1"/>
      </w:pPr>
      <w:r>
        <w:t>XXI. Theological Hermeneutics: What Daniel 11 Teaches</w:t>
      </w:r>
    </w:p>
    <w:p w14:paraId="040B7367" w14:textId="77777777" w:rsidR="00E147D6" w:rsidRDefault="00000000">
      <w:pPr>
        <w:pStyle w:val="Heading2"/>
      </w:pPr>
      <w:r>
        <w:t>1. God Is Sovereign over the Details of History</w:t>
      </w:r>
    </w:p>
    <w:p w14:paraId="4656F8CE" w14:textId="77777777" w:rsidR="00E147D6" w:rsidRDefault="00000000">
      <w:r>
        <w:t>Daniel 11 does not speak only of broad eras. It traces alliances, marriages, betrayals, taxes, campaigns, and deaths. The theological claim is that no level of political complexity lies outside God’s knowledge.</w:t>
      </w:r>
    </w:p>
    <w:p w14:paraId="1193CE21" w14:textId="77777777" w:rsidR="00E147D6" w:rsidRDefault="00000000">
      <w:pPr>
        <w:pStyle w:val="Heading2"/>
      </w:pPr>
      <w:r>
        <w:t>2. Geography Matters in Biblical Interpretation</w:t>
      </w:r>
    </w:p>
    <w:p w14:paraId="6E5792EA" w14:textId="77777777" w:rsidR="00E147D6" w:rsidRDefault="00000000">
      <w:r>
        <w:t>The north-south language makes sense only from the standpoint of Israel. Historical geography prevents us from turning biblical directional language into arbitrary modern symbolism.</w:t>
      </w:r>
    </w:p>
    <w:p w14:paraId="30AC0D6D" w14:textId="77777777" w:rsidR="00E147D6" w:rsidRDefault="00000000">
      <w:pPr>
        <w:pStyle w:val="Heading2"/>
      </w:pPr>
      <w:r>
        <w:t>3. Political Alliances Cannot Secure What Human Sin Continually Destabilizes</w:t>
      </w:r>
    </w:p>
    <w:p w14:paraId="538BD029" w14:textId="77777777" w:rsidR="00E147D6" w:rsidRDefault="00000000">
      <w:r>
        <w:t>Marriage treaties, diplomatic tables, military coalitions, and financial arrangements repeatedly fail. Human strategy is real, but never ultimate.</w:t>
      </w:r>
    </w:p>
    <w:p w14:paraId="35BD8C43" w14:textId="77777777" w:rsidR="00E147D6" w:rsidRDefault="00000000">
      <w:pPr>
        <w:pStyle w:val="Heading2"/>
      </w:pPr>
      <w:r>
        <w:t>4. The Covenant Community Can Be Corrupted from Within</w:t>
      </w:r>
    </w:p>
    <w:p w14:paraId="43BAB83D" w14:textId="77777777" w:rsidR="00E147D6" w:rsidRDefault="00000000">
      <w:r>
        <w:t>Antiochus succeeds partly through those who forsake the holy covenant. External pressure becomes more dangerous when internal conviction has already weakened.</w:t>
      </w:r>
    </w:p>
    <w:p w14:paraId="6D3AC417" w14:textId="77777777" w:rsidR="00E147D6" w:rsidRDefault="00000000">
      <w:pPr>
        <w:pStyle w:val="Heading2"/>
      </w:pPr>
      <w:r>
        <w:t>5. Flattery Can Be as Dangerous as Persecution</w:t>
      </w:r>
    </w:p>
    <w:p w14:paraId="02818E96" w14:textId="77777777" w:rsidR="00E147D6" w:rsidRDefault="00000000">
      <w:r>
        <w:t>Daniel distinguishes those corrupted by smooth words from those who know their God. Not every threat to faithfulness arrives with a sword.</w:t>
      </w:r>
    </w:p>
    <w:p w14:paraId="3F47B715" w14:textId="77777777" w:rsidR="00E147D6" w:rsidRDefault="00000000">
      <w:pPr>
        <w:pStyle w:val="Heading2"/>
      </w:pPr>
      <w:r>
        <w:t>6. Knowing God Produces Faithfulness, Not Necessarily Immediate Safety</w:t>
      </w:r>
    </w:p>
    <w:p w14:paraId="3D476903" w14:textId="77777777" w:rsidR="00E147D6" w:rsidRDefault="00000000">
      <w:r>
        <w:t>Daniel 11:32–33 joins strength with suffering. Some who know God act faithfully and still fall. Biblical courage cannot be measured solely by earthly outcomes.</w:t>
      </w:r>
    </w:p>
    <w:p w14:paraId="77947466" w14:textId="77777777" w:rsidR="00E147D6" w:rsidRDefault="00000000">
      <w:pPr>
        <w:pStyle w:val="Heading2"/>
      </w:pPr>
      <w:r>
        <w:t>7. Teaching Is an Act of Spiritual Resistance</w:t>
      </w:r>
    </w:p>
    <w:p w14:paraId="154264DE" w14:textId="77777777" w:rsidR="00E147D6" w:rsidRDefault="00000000">
      <w:r>
        <w:t>The wise give understanding to many. When deception dominates a culture, careful biblical teaching becomes part of how God preserves His people.</w:t>
      </w:r>
    </w:p>
    <w:p w14:paraId="2F245D36" w14:textId="77777777" w:rsidR="00E147D6" w:rsidRDefault="00000000">
      <w:pPr>
        <w:pStyle w:val="Heading2"/>
      </w:pPr>
      <w:r>
        <w:t>8. Suffering Can Refine without Making Evil Good</w:t>
      </w:r>
    </w:p>
    <w:p w14:paraId="21189BD0" w14:textId="77777777" w:rsidR="00E147D6" w:rsidRDefault="00000000">
      <w:r>
        <w:t>God uses the persecution to refine the faithful, but Antiochus remains morally accountable. Providence can transform what evil intends without excusing evil.</w:t>
      </w:r>
    </w:p>
    <w:p w14:paraId="481E4112" w14:textId="77777777" w:rsidR="00E147D6" w:rsidRDefault="00000000">
      <w:pPr>
        <w:pStyle w:val="Heading2"/>
      </w:pPr>
      <w:r>
        <w:t>9. Historical Deliverance Is Real but Incomplete</w:t>
      </w:r>
    </w:p>
    <w:p w14:paraId="4BB32675" w14:textId="77777777" w:rsidR="00E147D6" w:rsidRDefault="00000000">
      <w:r>
        <w:t>The Maccabean resistance provides “a little help.” The Temple is restored, yet Daniel’s larger Hope still points beyond temporary political relief.</w:t>
      </w:r>
    </w:p>
    <w:p w14:paraId="32D724F4" w14:textId="77777777" w:rsidR="00E147D6" w:rsidRDefault="00000000">
      <w:pPr>
        <w:pStyle w:val="Heading2"/>
      </w:pPr>
      <w:r>
        <w:lastRenderedPageBreak/>
        <w:t>10. Self-Exaltation Is the Spiritual Core of Beastly Power</w:t>
      </w:r>
    </w:p>
    <w:p w14:paraId="02B1854D" w14:textId="77777777" w:rsidR="00E147D6" w:rsidRDefault="00000000">
      <w:r>
        <w:t>Daniel’s rulers become most dangerous when they move beyond governing and begin claiming authority over truth, worship, covenant, and ultimately God Himself.</w:t>
      </w:r>
    </w:p>
    <w:p w14:paraId="6F539A96" w14:textId="77777777" w:rsidR="00E147D6" w:rsidRDefault="00000000">
      <w:pPr>
        <w:pStyle w:val="Heading2"/>
      </w:pPr>
      <w:r>
        <w:t>11. Prophetic Patterns Can Have More Than One Historical Horizon</w:t>
      </w:r>
    </w:p>
    <w:p w14:paraId="755E4E7F" w14:textId="77777777" w:rsidR="00E147D6" w:rsidRDefault="00000000">
      <w:r>
        <w:t>Antiochus gives concrete historical form to the abomination pattern, while Jesus and Paul reuse Danielic language for later events. Scripture itself teaches us to recognize typological recurrence.</w:t>
      </w:r>
    </w:p>
    <w:p w14:paraId="3DF66588" w14:textId="77777777" w:rsidR="00E147D6" w:rsidRDefault="00000000">
      <w:pPr>
        <w:pStyle w:val="Heading2"/>
      </w:pPr>
      <w:r>
        <w:t>12. Every Human Kingdom Reaches an Appointed End</w:t>
      </w:r>
    </w:p>
    <w:p w14:paraId="30A1F4F0" w14:textId="77777777" w:rsidR="00E147D6" w:rsidRDefault="00000000">
      <w:r>
        <w:t>The chapter’s rulers repeatedly appear invincible and then disappear. The final king likewise comes to his end with no one able to help him.</w:t>
      </w:r>
    </w:p>
    <w:p w14:paraId="503E6F8E" w14:textId="77777777" w:rsidR="00E147D6" w:rsidRDefault="00000000">
      <w:pPr>
        <w:pStyle w:val="Heading1"/>
      </w:pPr>
      <w:r>
        <w:t>XXII. A Necessary Word about Prophecy and Modern Headlines</w:t>
      </w:r>
    </w:p>
    <w:p w14:paraId="064A88A9" w14:textId="77777777" w:rsidR="00E147D6" w:rsidRDefault="00000000">
      <w:r>
        <w:t>Daniel 11 is precisely the kind of chapter that tempts interpreters to move too quickly from ancient text to current events. Because it contains wars, northern and southern powers, the Beautiful Land, and an end-time conflict, generations of interpreters have repeatedly identified contemporary rulers as the final fulfillment.</w:t>
      </w:r>
    </w:p>
    <w:p w14:paraId="74696859" w14:textId="77777777" w:rsidR="00E147D6" w:rsidRDefault="00000000">
      <w:r>
        <w:t>The history of interpretation should make us cautious. Napoleon, Ottoman sultans, European monarchs, Soviet leaders, Middle Eastern dictators, and numerous modern political figures have all been inserted into Danielic schemes with great confidence. Most such identifications disappeared when history moved on.</w:t>
      </w:r>
    </w:p>
    <w:p w14:paraId="0AD51DF0" w14:textId="77777777" w:rsidR="00E147D6" w:rsidRDefault="00000000">
      <w:r>
        <w:t>Our hermeneutical triangle protects us from that instability. We begin historically: what did north and south mean in Daniel’s world? We proceed literarily and canonically: how does Daniel itself develop these figures, and how do Jesus, Paul, and Revelation reuse the imagery? Only then do we ask theological and contemporary questions.</w:t>
      </w:r>
    </w:p>
    <w:p w14:paraId="2CEA408D" w14:textId="77777777" w:rsidR="00E147D6" w:rsidRDefault="00000000">
      <w:r>
        <w:t>The purpose of prophecy is not to reward the interpreter who can attach today’s newspaper to yesterday’s verse. It is to prepare God’s people to recognize recurring patterns of arrogance, deception, persecution, compromise, and faithfulness while trusting that history remains under divine authority.</w:t>
      </w:r>
    </w:p>
    <w:p w14:paraId="31BB3C30" w14:textId="77777777" w:rsidR="00E147D6" w:rsidRDefault="00000000">
      <w:pPr>
        <w:pStyle w:val="Heading1"/>
      </w:pPr>
      <w:r>
        <w:t>XXIII. Teaching Synthesis</w:t>
      </w:r>
    </w:p>
    <w:tbl>
      <w:tblPr>
        <w:tblW w:w="0" w:type="auto"/>
        <w:jc w:val="center"/>
        <w:tblLook w:val="04A0" w:firstRow="1" w:lastRow="0" w:firstColumn="1" w:lastColumn="0" w:noHBand="0" w:noVBand="1"/>
      </w:tblPr>
      <w:tblGrid>
        <w:gridCol w:w="9878"/>
      </w:tblGrid>
      <w:tr w:rsidR="00E147D6" w14:paraId="34A295F5" w14:textId="77777777">
        <w:trPr>
          <w:jc w:val="center"/>
        </w:trPr>
        <w:tc>
          <w:tcPr>
            <w:tcW w:w="9878" w:type="dxa"/>
            <w:shd w:val="clear" w:color="auto" w:fill="EDEDED"/>
          </w:tcPr>
          <w:p w14:paraId="7700C48B" w14:textId="77777777" w:rsidR="00E147D6" w:rsidRDefault="00000000">
            <w:r>
              <w:rPr>
                <w:b/>
                <w:sz w:val="22"/>
              </w:rPr>
              <w:t>Central Teaching Truth</w:t>
            </w:r>
          </w:p>
          <w:p w14:paraId="7380F0CB" w14:textId="77777777" w:rsidR="00E147D6" w:rsidRDefault="00000000">
            <w:r>
              <w:t>Daniel 11 shows that the people of God may live between competing powers they cannot control, but they are never without a calling. When rulers deceive, empires collide, and worship itself comes under pressure, those who know their God are called to remain faithful and to give understanding to others.</w:t>
            </w:r>
          </w:p>
        </w:tc>
      </w:tr>
    </w:tbl>
    <w:p w14:paraId="5C5F955E" w14:textId="77777777" w:rsidR="00E147D6" w:rsidRDefault="00E147D6"/>
    <w:p w14:paraId="59F22E48" w14:textId="77777777" w:rsidR="00E147D6" w:rsidRDefault="00000000">
      <w:r>
        <w:t>The chapter begins with kings whose names are not even supplied. From heaven’s perspective, rulers who dominated the headlines of their age can be reduced to “the king of the North” and “the king of the South.” Their ambitions mattered, their wars caused real suffering, and their decisions reshaped nations, but none of them became the center of God’s story.</w:t>
      </w:r>
    </w:p>
    <w:p w14:paraId="3AE67904" w14:textId="77777777" w:rsidR="00E147D6" w:rsidRDefault="00000000">
      <w:r>
        <w:t>Judea often appeared politically insignificant beside Egypt and Syria. Yet Daniel’s prophecy is oriented geographically around the covenant land because the theological issue is not simply which empire possesses the larger army. The question is what happens to the people, covenant, sanctuary, and worship of God as empires pursue their ambitions.</w:t>
      </w:r>
    </w:p>
    <w:p w14:paraId="36BD67C5" w14:textId="77777777" w:rsidR="00E147D6" w:rsidRDefault="00000000">
      <w:r>
        <w:t xml:space="preserve">That is why Antiochus IV occupies so much of the chapter. He represents the moment when imperial power crosses a theological boundary. He does not merely collect taxes or change borders. He turns against the </w:t>
      </w:r>
      <w:r>
        <w:lastRenderedPageBreak/>
        <w:t>holy covenant, manipulates compromisers, abolishes regular worship, profanes the sanctuary, and establishes an abomination.</w:t>
      </w:r>
    </w:p>
    <w:p w14:paraId="1B42B7D3" w14:textId="77777777" w:rsidR="00E147D6" w:rsidRDefault="00000000">
      <w:r>
        <w:t>Yet the chapter refuses to make Antiochus the final protagonist. The faithful who know their God become the theological center. Some resist. Some teach. Some suffer. Some die. Their faithfulness is not measured by whether they can immediately defeat the empire. It is measured by whether the empire can redefine whom they worship.</w:t>
      </w:r>
    </w:p>
    <w:p w14:paraId="6992E986" w14:textId="77777777" w:rsidR="00E147D6" w:rsidRDefault="00000000">
      <w:r>
        <w:t>This prepares us for the possible widening of the horizon in verses 36–45. Antiochus becomes more than a name in ancient history because he embodies a pattern Scripture later reuses. Jesus speaks again of Daniel’s abomination. Paul describes a self-exalting man of lawlessness. Revelation portrays beastly power demanding allegiance and worship. The historical ruler becomes a theological prototype.</w:t>
      </w:r>
    </w:p>
    <w:p w14:paraId="4415ABA5" w14:textId="77777777" w:rsidR="00E147D6" w:rsidRDefault="00000000">
      <w:r>
        <w:t>Daniel 11 therefore teaches the church how to live in history without being owned by history. Political powers rise and fall. Alliances change. Nations threaten one another. Leaders make promises and break them. But the people who know their God possess a source of identity no empire can finally control. Their task is to remain faithful, to understand, to teach, and to remember that every arrogant ruler eventually reaches the sentence with which this chapter closes: “he will come to his end, and no one will help him.”</w:t>
      </w:r>
    </w:p>
    <w:p w14:paraId="0E66BD59" w14:textId="77777777" w:rsidR="00E147D6" w:rsidRDefault="00000000">
      <w:pPr>
        <w:pStyle w:val="Heading1"/>
      </w:pPr>
      <w:r>
        <w:t>XXIV. Questions for Reflection and Discussion</w:t>
      </w:r>
    </w:p>
    <w:p w14:paraId="167AC219" w14:textId="77777777" w:rsidR="00E147D6" w:rsidRDefault="00000000">
      <w:pPr>
        <w:ind w:left="259" w:hanging="259"/>
      </w:pPr>
      <w:r>
        <w:rPr>
          <w:b/>
        </w:rPr>
        <w:t xml:space="preserve">• </w:t>
      </w:r>
      <w:r>
        <w:t>How does Daniel 10 change the way we should read the political history of Daniel 11?</w:t>
      </w:r>
    </w:p>
    <w:p w14:paraId="7E74E67C" w14:textId="77777777" w:rsidR="00E147D6" w:rsidRDefault="00000000">
      <w:pPr>
        <w:ind w:left="259" w:hanging="259"/>
      </w:pPr>
      <w:r>
        <w:rPr>
          <w:b/>
        </w:rPr>
        <w:t xml:space="preserve">• </w:t>
      </w:r>
      <w:r>
        <w:t>Why are the terms “king of the North” and “king of the South” best understood geographically from the standpoint of Judea?</w:t>
      </w:r>
    </w:p>
    <w:p w14:paraId="65BB2618" w14:textId="77777777" w:rsidR="00E147D6" w:rsidRDefault="00000000">
      <w:pPr>
        <w:ind w:left="259" w:hanging="259"/>
      </w:pPr>
      <w:r>
        <w:rPr>
          <w:b/>
        </w:rPr>
        <w:t xml:space="preserve">• </w:t>
      </w:r>
      <w:r>
        <w:t>What does the fragmentation of Alexander’s empire teach about the apparent permanence of political power?</w:t>
      </w:r>
    </w:p>
    <w:p w14:paraId="57B15B15" w14:textId="77777777" w:rsidR="00E147D6" w:rsidRDefault="00000000">
      <w:pPr>
        <w:ind w:left="259" w:hanging="259"/>
      </w:pPr>
      <w:r>
        <w:rPr>
          <w:b/>
        </w:rPr>
        <w:t xml:space="preserve">• </w:t>
      </w:r>
      <w:r>
        <w:t>How did dynastic marriage function as international diplomacy in the Hellenistic world, and why did the Berenice alliance fail?</w:t>
      </w:r>
    </w:p>
    <w:p w14:paraId="4A0011D7" w14:textId="77777777" w:rsidR="00E147D6" w:rsidRDefault="00000000">
      <w:pPr>
        <w:ind w:left="259" w:hanging="259"/>
      </w:pPr>
      <w:r>
        <w:rPr>
          <w:b/>
        </w:rPr>
        <w:t xml:space="preserve">• </w:t>
      </w:r>
      <w:r>
        <w:t>Why did Judea repeatedly become entangled in the conflicts between the Ptolemies and Seleucids?</w:t>
      </w:r>
    </w:p>
    <w:p w14:paraId="7FB93D71" w14:textId="77777777" w:rsidR="00E147D6" w:rsidRDefault="00000000">
      <w:pPr>
        <w:ind w:left="259" w:hanging="259"/>
      </w:pPr>
      <w:r>
        <w:rPr>
          <w:b/>
        </w:rPr>
        <w:t xml:space="preserve">• </w:t>
      </w:r>
      <w:r>
        <w:t>How did Rome’s defeat of Antiochus III alter the financial and political pressures on the Seleucid kingdom?</w:t>
      </w:r>
    </w:p>
    <w:p w14:paraId="00771E2D" w14:textId="77777777" w:rsidR="00E147D6" w:rsidRDefault="00000000">
      <w:pPr>
        <w:ind w:left="259" w:hanging="259"/>
      </w:pPr>
      <w:r>
        <w:rPr>
          <w:b/>
        </w:rPr>
        <w:t xml:space="preserve">• </w:t>
      </w:r>
      <w:r>
        <w:t>What historical circumstances allowed Antiochus IV to obtain the throne?</w:t>
      </w:r>
    </w:p>
    <w:p w14:paraId="74CD5D37" w14:textId="77777777" w:rsidR="00E147D6" w:rsidRDefault="00000000">
      <w:pPr>
        <w:ind w:left="259" w:hanging="259"/>
      </w:pPr>
      <w:r>
        <w:rPr>
          <w:b/>
        </w:rPr>
        <w:t xml:space="preserve">• </w:t>
      </w:r>
      <w:r>
        <w:t>How do 1 and 2 Maccabees help us understand the internal Jewish conflict surrounding Hellenization?</w:t>
      </w:r>
    </w:p>
    <w:p w14:paraId="057E0205" w14:textId="77777777" w:rsidR="00E147D6" w:rsidRDefault="00000000">
      <w:pPr>
        <w:ind w:left="259" w:hanging="259"/>
      </w:pPr>
      <w:r>
        <w:rPr>
          <w:b/>
        </w:rPr>
        <w:t xml:space="preserve">• </w:t>
      </w:r>
      <w:r>
        <w:t>What was the significance of Popillius Laenas and the Roman intervention in 168 BC?</w:t>
      </w:r>
    </w:p>
    <w:p w14:paraId="4E201C35" w14:textId="77777777" w:rsidR="00E147D6" w:rsidRDefault="00000000">
      <w:pPr>
        <w:ind w:left="259" w:hanging="259"/>
      </w:pPr>
      <w:r>
        <w:rPr>
          <w:b/>
        </w:rPr>
        <w:t xml:space="preserve">• </w:t>
      </w:r>
      <w:r>
        <w:t>What did the abolition of the tāmîd and the erection of the abomination communicate theologically?</w:t>
      </w:r>
    </w:p>
    <w:p w14:paraId="40E70568" w14:textId="77777777" w:rsidR="00E147D6" w:rsidRDefault="00000000">
      <w:pPr>
        <w:ind w:left="259" w:hanging="259"/>
      </w:pPr>
      <w:r>
        <w:rPr>
          <w:b/>
        </w:rPr>
        <w:t xml:space="preserve">• </w:t>
      </w:r>
      <w:r>
        <w:t>What is the contrast between those corrupted by flattery and those who know their God in Daniel 11:32?</w:t>
      </w:r>
    </w:p>
    <w:p w14:paraId="79C72CB0" w14:textId="77777777" w:rsidR="00E147D6" w:rsidRDefault="00000000">
      <w:pPr>
        <w:ind w:left="259" w:hanging="259"/>
      </w:pPr>
      <w:r>
        <w:rPr>
          <w:b/>
        </w:rPr>
        <w:t xml:space="preserve">• </w:t>
      </w:r>
      <w:r>
        <w:t>Why is the ministry of the maskilim—those who have insight—so important during persecution?</w:t>
      </w:r>
    </w:p>
    <w:p w14:paraId="690A47D5" w14:textId="77777777" w:rsidR="00E147D6" w:rsidRDefault="00000000">
      <w:pPr>
        <w:ind w:left="259" w:hanging="259"/>
      </w:pPr>
      <w:r>
        <w:rPr>
          <w:b/>
        </w:rPr>
        <w:t xml:space="preserve">• </w:t>
      </w:r>
      <w:r>
        <w:t>What does “a little help” suggest about the difference between historical deliverance and final redemption?</w:t>
      </w:r>
    </w:p>
    <w:p w14:paraId="4A72A5CC" w14:textId="77777777" w:rsidR="00E147D6" w:rsidRDefault="00000000">
      <w:pPr>
        <w:ind w:left="259" w:hanging="259"/>
      </w:pPr>
      <w:r>
        <w:rPr>
          <w:b/>
        </w:rPr>
        <w:t xml:space="preserve">• </w:t>
      </w:r>
      <w:r>
        <w:t>Why do verses 36–45 create an interpretive problem if they are applied only to Antiochus IV?</w:t>
      </w:r>
    </w:p>
    <w:p w14:paraId="2B4F60C5" w14:textId="77777777" w:rsidR="00E147D6" w:rsidRDefault="00000000">
      <w:pPr>
        <w:ind w:left="259" w:hanging="259"/>
      </w:pPr>
      <w:r>
        <w:rPr>
          <w:b/>
        </w:rPr>
        <w:t xml:space="preserve">• </w:t>
      </w:r>
      <w:r>
        <w:t>What textual and canonical reasons support the possibility of an eschatological expansion in the final portion of the chapter?</w:t>
      </w:r>
    </w:p>
    <w:p w14:paraId="1F40415B" w14:textId="77777777" w:rsidR="00E147D6" w:rsidRDefault="00000000">
      <w:pPr>
        <w:ind w:left="259" w:hanging="259"/>
      </w:pPr>
      <w:r>
        <w:rPr>
          <w:b/>
        </w:rPr>
        <w:t xml:space="preserve">• </w:t>
      </w:r>
      <w:r>
        <w:t>How does 2 Thessalonians 2 reuse the self-exaltation language of Daniel?</w:t>
      </w:r>
    </w:p>
    <w:p w14:paraId="7F180716" w14:textId="77777777" w:rsidR="00E147D6" w:rsidRDefault="00000000">
      <w:pPr>
        <w:ind w:left="259" w:hanging="259"/>
      </w:pPr>
      <w:r>
        <w:rPr>
          <w:b/>
        </w:rPr>
        <w:t xml:space="preserve">• </w:t>
      </w:r>
      <w:r>
        <w:t>Why should the detailed accuracy of Daniel 11 be discussed in relation to the scholarly debate over the book’s date?</w:t>
      </w:r>
    </w:p>
    <w:p w14:paraId="57D4DEB0" w14:textId="77777777" w:rsidR="00E147D6" w:rsidRDefault="00000000">
      <w:pPr>
        <w:ind w:left="259" w:hanging="259"/>
      </w:pPr>
      <w:r>
        <w:rPr>
          <w:b/>
        </w:rPr>
        <w:lastRenderedPageBreak/>
        <w:t xml:space="preserve">• </w:t>
      </w:r>
      <w:r>
        <w:t>What is the danger of immediately mapping the kings of north and south onto modern nation-states?</w:t>
      </w:r>
    </w:p>
    <w:p w14:paraId="1C6FDDFB" w14:textId="77777777" w:rsidR="00E147D6" w:rsidRDefault="00000000">
      <w:pPr>
        <w:ind w:left="259" w:hanging="259"/>
      </w:pPr>
      <w:r>
        <w:rPr>
          <w:b/>
        </w:rPr>
        <w:t xml:space="preserve">• </w:t>
      </w:r>
      <w:r>
        <w:t>How does Daniel 11 redefine what strength looks like for the people of God?</w:t>
      </w:r>
    </w:p>
    <w:p w14:paraId="0AA3AA12" w14:textId="77777777" w:rsidR="00E147D6" w:rsidRDefault="00000000">
      <w:pPr>
        <w:pStyle w:val="Heading1"/>
      </w:pPr>
      <w:r>
        <w:t>Primary Biblical Sources</w:t>
      </w:r>
    </w:p>
    <w:p w14:paraId="43C03DBE" w14:textId="77777777" w:rsidR="00E147D6" w:rsidRDefault="00000000">
      <w:pPr>
        <w:ind w:left="259" w:hanging="259"/>
      </w:pPr>
      <w:r>
        <w:rPr>
          <w:b/>
        </w:rPr>
        <w:t xml:space="preserve">• Persia and Greece: </w:t>
      </w:r>
      <w:r>
        <w:t>Daniel 10:20–11:4; Daniel 8:20–22.</w:t>
      </w:r>
    </w:p>
    <w:p w14:paraId="410D8D9F" w14:textId="77777777" w:rsidR="00E147D6" w:rsidRDefault="00000000">
      <w:pPr>
        <w:ind w:left="259" w:hanging="259"/>
      </w:pPr>
      <w:r>
        <w:rPr>
          <w:b/>
        </w:rPr>
        <w:t xml:space="preserve">• Cyrus and the return: </w:t>
      </w:r>
      <w:r>
        <w:t>2 Chronicles 36:22–23; Ezra 1:1–4.</w:t>
      </w:r>
    </w:p>
    <w:p w14:paraId="3FFEE04F" w14:textId="77777777" w:rsidR="00E147D6" w:rsidRDefault="00000000">
      <w:pPr>
        <w:ind w:left="259" w:hanging="259"/>
      </w:pPr>
      <w:r>
        <w:rPr>
          <w:b/>
        </w:rPr>
        <w:t xml:space="preserve">• Ptolemaic-Seleucid and Antiochene prophecy: </w:t>
      </w:r>
      <w:r>
        <w:t>Daniel 11:5–35.</w:t>
      </w:r>
    </w:p>
    <w:p w14:paraId="2FEFFE7B" w14:textId="77777777" w:rsidR="00E147D6" w:rsidRDefault="00000000">
      <w:pPr>
        <w:ind w:left="259" w:hanging="259"/>
      </w:pPr>
      <w:r>
        <w:rPr>
          <w:b/>
        </w:rPr>
        <w:t xml:space="preserve">• Regular sacrifice and sanctuary crisis: </w:t>
      </w:r>
      <w:r>
        <w:t>Daniel 8:9–14; 11:31; 12:11.</w:t>
      </w:r>
    </w:p>
    <w:p w14:paraId="25028EF9" w14:textId="77777777" w:rsidR="00E147D6" w:rsidRDefault="00000000">
      <w:pPr>
        <w:ind w:left="259" w:hanging="259"/>
      </w:pPr>
      <w:r>
        <w:rPr>
          <w:b/>
        </w:rPr>
        <w:t xml:space="preserve">• Holy covenant and faithful resistance: </w:t>
      </w:r>
      <w:r>
        <w:t>Daniel 11:28–35.</w:t>
      </w:r>
    </w:p>
    <w:p w14:paraId="6E33BB93" w14:textId="77777777" w:rsidR="00E147D6" w:rsidRDefault="00000000">
      <w:pPr>
        <w:ind w:left="259" w:hanging="259"/>
      </w:pPr>
      <w:r>
        <w:rPr>
          <w:b/>
        </w:rPr>
        <w:t xml:space="preserve">• Final self-exalting king: </w:t>
      </w:r>
      <w:r>
        <w:t>Daniel 11:36–45.</w:t>
      </w:r>
    </w:p>
    <w:p w14:paraId="51AFDD6E" w14:textId="77777777" w:rsidR="00E147D6" w:rsidRDefault="00000000">
      <w:pPr>
        <w:ind w:left="259" w:hanging="259"/>
      </w:pPr>
      <w:r>
        <w:rPr>
          <w:b/>
        </w:rPr>
        <w:t xml:space="preserve">• Unparalleled distress and resurrection: </w:t>
      </w:r>
      <w:r>
        <w:t>Daniel 12:1–3.</w:t>
      </w:r>
    </w:p>
    <w:p w14:paraId="62CE9582" w14:textId="77777777" w:rsidR="00E147D6" w:rsidRDefault="00000000">
      <w:pPr>
        <w:ind w:left="259" w:hanging="259"/>
      </w:pPr>
      <w:r>
        <w:rPr>
          <w:b/>
        </w:rPr>
        <w:t xml:space="preserve">• Jesus and the abomination of desolation: </w:t>
      </w:r>
      <w:r>
        <w:t>Matthew 24:15–22; Mark 13:14–20; Luke 21:20–24.</w:t>
      </w:r>
    </w:p>
    <w:p w14:paraId="2A4A802F" w14:textId="77777777" w:rsidR="00E147D6" w:rsidRDefault="00000000">
      <w:pPr>
        <w:ind w:left="259" w:hanging="259"/>
      </w:pPr>
      <w:r>
        <w:rPr>
          <w:b/>
        </w:rPr>
        <w:t xml:space="preserve">• Man of lawlessness: </w:t>
      </w:r>
      <w:r>
        <w:t>2 Thessalonians 2:3–12.</w:t>
      </w:r>
    </w:p>
    <w:p w14:paraId="07244A64" w14:textId="77777777" w:rsidR="00E147D6" w:rsidRDefault="00000000">
      <w:pPr>
        <w:ind w:left="259" w:hanging="259"/>
      </w:pPr>
      <w:r>
        <w:rPr>
          <w:b/>
        </w:rPr>
        <w:t xml:space="preserve">• Beastly power and worship: </w:t>
      </w:r>
      <w:r>
        <w:t>Revelation 13; 17.</w:t>
      </w:r>
    </w:p>
    <w:p w14:paraId="1646A477" w14:textId="77777777" w:rsidR="00E147D6" w:rsidRDefault="00000000">
      <w:pPr>
        <w:pStyle w:val="Heading1"/>
      </w:pPr>
      <w:r>
        <w:t>Selected Extrabiblical and Scholarly Resources</w:t>
      </w:r>
    </w:p>
    <w:p w14:paraId="2F201D4F" w14:textId="77777777" w:rsidR="00E147D6" w:rsidRDefault="00000000">
      <w:pPr>
        <w:ind w:left="259" w:hanging="259"/>
      </w:pPr>
      <w:r>
        <w:rPr>
          <w:b/>
        </w:rPr>
        <w:t xml:space="preserve">• Polybius, Histories. </w:t>
      </w:r>
      <w:r>
        <w:t>Primary Greco-Roman historical source for the Hellenistic political world, especially Antiochus III, Antiochus IV, Roman intervention, and Popillius Laenas.</w:t>
      </w:r>
    </w:p>
    <w:p w14:paraId="7E111C63" w14:textId="77777777" w:rsidR="00E147D6" w:rsidRDefault="00000000">
      <w:pPr>
        <w:ind w:left="259" w:hanging="259"/>
      </w:pPr>
      <w:r>
        <w:rPr>
          <w:b/>
        </w:rPr>
        <w:t xml:space="preserve">• 1 Maccabees 1–4. </w:t>
      </w:r>
      <w:r>
        <w:t>Near-contemporary Jewish account of Antiochus IV, covenant suppression, the abomination, Maccabean resistance, and Temple rededication.</w:t>
      </w:r>
    </w:p>
    <w:p w14:paraId="717B071C" w14:textId="77777777" w:rsidR="00E147D6" w:rsidRDefault="00000000">
      <w:pPr>
        <w:ind w:left="259" w:hanging="259"/>
      </w:pPr>
      <w:r>
        <w:rPr>
          <w:b/>
        </w:rPr>
        <w:t xml:space="preserve">• 2 Maccabees 3–10. </w:t>
      </w:r>
      <w:r>
        <w:t>Important parallel account emphasizing high-priestly conflict, Hellenization, persecution, martyrdom, and sanctuary restoration.</w:t>
      </w:r>
    </w:p>
    <w:p w14:paraId="17CCB4D6" w14:textId="77777777" w:rsidR="00E147D6" w:rsidRDefault="00000000">
      <w:pPr>
        <w:ind w:left="259" w:hanging="259"/>
      </w:pPr>
      <w:r>
        <w:rPr>
          <w:b/>
        </w:rPr>
        <w:t xml:space="preserve">• Josephus, Antiquities of the Jews, Book 12. </w:t>
      </w:r>
      <w:r>
        <w:t>Later Jewish narrative of Ptolemaic, Seleucid, and Maccabean history; useful especially when compared critically with earlier sources.</w:t>
      </w:r>
    </w:p>
    <w:p w14:paraId="23422C5E" w14:textId="77777777" w:rsidR="00E147D6" w:rsidRDefault="00000000">
      <w:pPr>
        <w:ind w:left="259" w:hanging="259"/>
      </w:pPr>
      <w:r>
        <w:rPr>
          <w:b/>
        </w:rPr>
        <w:t xml:space="preserve">• Livy, History of Rome, Books 35–45. </w:t>
      </w:r>
      <w:r>
        <w:t>Roman historical material concerning Antiochus III, the eastern Mediterranean, and Roman intervention against Antiochus IV.</w:t>
      </w:r>
    </w:p>
    <w:p w14:paraId="3CACD596" w14:textId="77777777" w:rsidR="00E147D6" w:rsidRDefault="00000000">
      <w:pPr>
        <w:ind w:left="259" w:hanging="259"/>
      </w:pPr>
      <w:r>
        <w:rPr>
          <w:b/>
        </w:rPr>
        <w:t xml:space="preserve">• Appian, Syrian Wars. </w:t>
      </w:r>
      <w:r>
        <w:t>Later source for Seleucid history and Roman-Seleucid conflict.</w:t>
      </w:r>
    </w:p>
    <w:p w14:paraId="4D8AA140" w14:textId="77777777" w:rsidR="00E147D6" w:rsidRDefault="00000000">
      <w:pPr>
        <w:ind w:left="259" w:hanging="259"/>
      </w:pPr>
      <w:r>
        <w:rPr>
          <w:b/>
        </w:rPr>
        <w:t xml:space="preserve">• Herodotus, Histories, Books 7–9. </w:t>
      </w:r>
      <w:r>
        <w:t>Major ancient account of Xerxes’ invasion of Greece, illuminating Daniel 11:2’s Persian-Greek horizon.</w:t>
      </w:r>
    </w:p>
    <w:p w14:paraId="5A58F235" w14:textId="77777777" w:rsidR="00E147D6" w:rsidRDefault="00000000">
      <w:pPr>
        <w:ind w:left="259" w:hanging="259"/>
      </w:pPr>
      <w:r>
        <w:rPr>
          <w:b/>
        </w:rPr>
        <w:t xml:space="preserve">• John J. Collins, Daniel: A Commentary on the Book of Daniel (Hermeneia). </w:t>
      </w:r>
      <w:r>
        <w:t>Major critical analysis of Daniel 11’s historical correspondences, Antiochene setting, literary development, and dating questions.</w:t>
      </w:r>
    </w:p>
    <w:p w14:paraId="2150D2EB" w14:textId="77777777" w:rsidR="00E147D6" w:rsidRDefault="00000000">
      <w:pPr>
        <w:ind w:left="259" w:hanging="259"/>
      </w:pPr>
      <w:r>
        <w:rPr>
          <w:b/>
        </w:rPr>
        <w:t xml:space="preserve">• John E. Goldingay, Daniel (Word Biblical Commentary). </w:t>
      </w:r>
      <w:r>
        <w:t>Detailed textual, historical, and linguistic analysis of the kings, chronology, and final eschatological questions.</w:t>
      </w:r>
    </w:p>
    <w:p w14:paraId="34B837EB" w14:textId="77777777" w:rsidR="00E147D6" w:rsidRDefault="00000000">
      <w:pPr>
        <w:ind w:left="259" w:hanging="259"/>
      </w:pPr>
      <w:r>
        <w:rPr>
          <w:b/>
        </w:rPr>
        <w:t xml:space="preserve">• Joyce G. Baldwin, Daniel (Tyndale Old Testament Commentaries). </w:t>
      </w:r>
      <w:r>
        <w:t>Concise conservative exposition with careful historical identifications and theological synthesis.</w:t>
      </w:r>
    </w:p>
    <w:p w14:paraId="1A461534" w14:textId="77777777" w:rsidR="00E147D6" w:rsidRDefault="00000000">
      <w:pPr>
        <w:ind w:left="259" w:hanging="259"/>
      </w:pPr>
      <w:r>
        <w:rPr>
          <w:b/>
        </w:rPr>
        <w:t xml:space="preserve">• Stephen R. Miller, Daniel (New American Commentary). </w:t>
      </w:r>
      <w:r>
        <w:t>Conservative treatment emphasizing predictive prophecy and an eschatological shift in the latter part of the chapter.</w:t>
      </w:r>
    </w:p>
    <w:p w14:paraId="0DA835C6" w14:textId="77777777" w:rsidR="00E147D6" w:rsidRDefault="00000000">
      <w:pPr>
        <w:ind w:left="259" w:hanging="259"/>
      </w:pPr>
      <w:r>
        <w:rPr>
          <w:b/>
        </w:rPr>
        <w:lastRenderedPageBreak/>
        <w:t xml:space="preserve">• Tremper Longman III, Daniel (NIV Application Commentary). </w:t>
      </w:r>
      <w:r>
        <w:t>Accessible but substantial literary-theological treatment of the historical conflicts and faithful response.</w:t>
      </w:r>
    </w:p>
    <w:p w14:paraId="0923A428" w14:textId="77777777" w:rsidR="00E147D6" w:rsidRDefault="00000000">
      <w:pPr>
        <w:pStyle w:val="Heading2"/>
      </w:pPr>
      <w:r>
        <w:t>Historical and Interpretive Method Note</w:t>
      </w:r>
    </w:p>
    <w:p w14:paraId="375D40FD" w14:textId="77777777" w:rsidR="00E147D6" w:rsidRDefault="00000000">
      <w:r>
        <w:t>Daniel 11 rewards historical research more than almost any other chapter in the book, but the historical correspondences must be presented with appropriate levels of confidence. The identification of the mighty Greek king with Alexander, the north-south rivalry with the Seleucid and Ptolemaic kingdoms, and the despicable ruler of verses 21–35 with Antiochus IV are exceptionally strong. Individual details within the earlier succession sometimes depend upon reconstructed chronologies and ancient sources that do not agree at every point.</w:t>
      </w:r>
    </w:p>
    <w:p w14:paraId="0F92F511" w14:textId="77777777" w:rsidR="00E147D6" w:rsidRDefault="00000000">
      <w:r>
        <w:t>The greatest caution is required in verses 36–45. We should neither pretend that Antiochus’s known biography matches every detail nor announce a future Antichrist simply because a theological system expects one. The movement into Daniel 12, the language of the end time, the historical mismatch with Antiochus’s death, and later New Testament reuse of Danielic self-exaltation provide meaningful reasons for an eschatological reading. The exact point of transition remains debated.</w:t>
      </w:r>
    </w:p>
    <w:p w14:paraId="13D047C6" w14:textId="77777777" w:rsidR="00E147D6" w:rsidRDefault="00000000">
      <w:r>
        <w:t>This is precisely where the hermeneutical triangle serves us well. Historical study establishes the Seleucid-Ptolemaic world. Literary study follows the progression and recognizes possible shifts in horizon. Canonical study observes how Jesus, Paul, and Revelation reuse Daniel. Theological application then asks how God’s people remain faithful when political power becomes spiritually coercive.</w:t>
      </w:r>
    </w:p>
    <w:p w14:paraId="385E2C0E" w14:textId="77777777" w:rsidR="00E147D6" w:rsidRDefault="00000000">
      <w:pPr>
        <w:pStyle w:val="Heading1"/>
      </w:pPr>
      <w:r>
        <w:t>Closing Perspective</w:t>
      </w:r>
    </w:p>
    <w:p w14:paraId="0FCCE69C" w14:textId="77777777" w:rsidR="00E147D6" w:rsidRDefault="00000000">
      <w:r>
        <w:t>Daniel 11 can initially feel like a chapter filled with rulers whose names the text does not bother to give. Yet that feature may itself make a theological point. The kings who regarded themselves as indispensable are remembered in the prophecy primarily by their direction: north and south. They rise, maneuver, conquer, negotiate, betray, and disappear.</w:t>
      </w:r>
    </w:p>
    <w:p w14:paraId="42B7BA20" w14:textId="77777777" w:rsidR="00E147D6" w:rsidRDefault="00000000">
      <w:r>
        <w:t>The people of God occupy a very different position. They rarely control the empires around them. Judea is passed between greater powers, and faithful Jews eventually face a ruler determined to redefine worship itself. From the standpoint of political realism, they appear weak.</w:t>
      </w:r>
    </w:p>
    <w:p w14:paraId="1D6C3418" w14:textId="77777777" w:rsidR="00E147D6" w:rsidRDefault="00000000">
      <w:r>
        <w:t>Yet Daniel changes the definition of strength. “The people who know their God will display strength and take action.” Their strength lies first in knowing whom they belong to. Some will teach. Some will resist. Some will suffer. Some will fall. But the empire cannot make covenant faithfulness meaningless.</w:t>
      </w:r>
    </w:p>
    <w:p w14:paraId="5B1747B8" w14:textId="77777777" w:rsidR="00E147D6" w:rsidRDefault="00000000">
      <w:r>
        <w:t>That may be the enduring pastoral force of Daniel 11. God never promises His people that they will always live under favorable rulers or escape the consequences of international conflict. He promises something deeper: history has an appointed time, arrogance has a boundary, persecution cannot erase His purposes, and the final word does not belong to the ruler who seems most powerful.</w:t>
      </w:r>
    </w:p>
    <w:p w14:paraId="2727573B" w14:textId="77777777" w:rsidR="00E147D6" w:rsidRDefault="00000000">
      <w:r>
        <w:t>The chapter closes with the king coming to his end and finding no one able to help him. Chapter 12 will now turn our eyes from the end of the arrogant king to the destiny of the faithful—including resurrection itself. The contrast could hardly be sharper. Human empire ends. God’s people rise.</w:t>
      </w:r>
    </w:p>
    <w:sectPr w:rsidR="00E147D6"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94936" w14:textId="77777777" w:rsidR="00FA489C" w:rsidRDefault="00FA489C">
      <w:pPr>
        <w:spacing w:after="0" w:line="240" w:lineRule="auto"/>
      </w:pPr>
      <w:r>
        <w:separator/>
      </w:r>
    </w:p>
  </w:endnote>
  <w:endnote w:type="continuationSeparator" w:id="0">
    <w:p w14:paraId="768B8B0E" w14:textId="77777777" w:rsidR="00FA489C" w:rsidRDefault="00FA4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60744" w14:textId="77777777" w:rsidR="00E147D6" w:rsidRDefault="00000000">
    <w:pPr>
      <w:pStyle w:val="Footer"/>
      <w:jc w:val="center"/>
    </w:pPr>
    <w:r>
      <w:rPr>
        <w:sz w:val="16"/>
      </w:rPr>
      <w:t xml:space="preserve">David V. Lott, Ph.D.   •   </w:t>
    </w:r>
    <w:r>
      <w:fldChar w:fldCharType="begin"/>
    </w:r>
    <w:r>
      <w:instrText>PAGE</w:instrText>
    </w:r>
    <w:r>
      <w:fldChar w:fldCharType="separate"/>
    </w:r>
    <w:r w:rsidR="00A30EC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426C2" w14:textId="77777777" w:rsidR="00FA489C" w:rsidRDefault="00FA489C">
      <w:pPr>
        <w:spacing w:after="0" w:line="240" w:lineRule="auto"/>
      </w:pPr>
      <w:r>
        <w:separator/>
      </w:r>
    </w:p>
  </w:footnote>
  <w:footnote w:type="continuationSeparator" w:id="0">
    <w:p w14:paraId="404845CE" w14:textId="77777777" w:rsidR="00FA489C" w:rsidRDefault="00FA48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15570" w14:textId="77777777" w:rsidR="00E147D6" w:rsidRDefault="00000000">
    <w:pPr>
      <w:pStyle w:val="Header"/>
      <w:jc w:val="right"/>
    </w:pPr>
    <w:r>
      <w:rPr>
        <w:b/>
        <w:sz w:val="16"/>
      </w:rPr>
      <w:t>EXPOSITIONAL STUDIES • DANIEL 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45029932">
    <w:abstractNumId w:val="8"/>
  </w:num>
  <w:num w:numId="2" w16cid:durableId="568930621">
    <w:abstractNumId w:val="6"/>
  </w:num>
  <w:num w:numId="3" w16cid:durableId="1190098099">
    <w:abstractNumId w:val="5"/>
  </w:num>
  <w:num w:numId="4" w16cid:durableId="1272513498">
    <w:abstractNumId w:val="4"/>
  </w:num>
  <w:num w:numId="5" w16cid:durableId="445272376">
    <w:abstractNumId w:val="7"/>
  </w:num>
  <w:num w:numId="6" w16cid:durableId="1860895410">
    <w:abstractNumId w:val="3"/>
  </w:num>
  <w:num w:numId="7" w16cid:durableId="458840062">
    <w:abstractNumId w:val="2"/>
  </w:num>
  <w:num w:numId="8" w16cid:durableId="2146002825">
    <w:abstractNumId w:val="1"/>
  </w:num>
  <w:num w:numId="9" w16cid:durableId="382219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A30ECF"/>
    <w:rsid w:val="00AA1D8D"/>
    <w:rsid w:val="00B47730"/>
    <w:rsid w:val="00CB0664"/>
    <w:rsid w:val="00CE2390"/>
    <w:rsid w:val="00E147D6"/>
    <w:rsid w:val="00FA489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69C174"/>
  <w14:defaultImageDpi w14:val="300"/>
  <w15:docId w15:val="{10EB9645-C163-46F4-A41E-5FB02C106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8148</Words>
  <Characters>46449</Characters>
  <Application>Microsoft Office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54489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2026-10-06T17:04:00Z</dcterms:created>
  <dcterms:modified xsi:type="dcterms:W3CDTF">2026-10-06T17:04:00Z</dcterms:modified>
  <cp:category/>
</cp:coreProperties>
</file>