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3FDD2" w14:textId="77777777" w:rsidR="00567DC4" w:rsidRDefault="00000000">
      <w:pPr>
        <w:spacing w:before="1400"/>
        <w:jc w:val="center"/>
      </w:pPr>
      <w:r>
        <w:rPr>
          <w:b/>
          <w:sz w:val="60"/>
        </w:rPr>
        <w:t>DANIEL 3</w:t>
      </w:r>
    </w:p>
    <w:p w14:paraId="429D0AB9" w14:textId="77777777" w:rsidR="00567DC4" w:rsidRDefault="00000000">
      <w:pPr>
        <w:jc w:val="center"/>
      </w:pPr>
      <w:r>
        <w:rPr>
          <w:b/>
          <w:sz w:val="36"/>
        </w:rPr>
        <w:t>Faithfulness When the Empire Demands Worship</w:t>
      </w:r>
    </w:p>
    <w:p w14:paraId="1DB14635" w14:textId="77777777" w:rsidR="00567DC4" w:rsidRDefault="00000000">
      <w:pPr>
        <w:jc w:val="center"/>
      </w:pPr>
      <w:r>
        <w:rPr>
          <w:i/>
          <w:sz w:val="23"/>
        </w:rPr>
        <w:t>Historical • Literary and Linguistic • Canonical • Theological Exposition</w:t>
      </w:r>
    </w:p>
    <w:p w14:paraId="34DF2CE1" w14:textId="77777777" w:rsidR="00567DC4" w:rsidRDefault="00567DC4"/>
    <w:tbl>
      <w:tblPr>
        <w:tblW w:w="0" w:type="auto"/>
        <w:jc w:val="center"/>
        <w:tblLook w:val="04A0" w:firstRow="1" w:lastRow="0" w:firstColumn="1" w:lastColumn="0" w:noHBand="0" w:noVBand="1"/>
      </w:tblPr>
      <w:tblGrid>
        <w:gridCol w:w="9878"/>
      </w:tblGrid>
      <w:tr w:rsidR="00567DC4" w14:paraId="5855082B" w14:textId="77777777">
        <w:trPr>
          <w:jc w:val="center"/>
        </w:trPr>
        <w:tc>
          <w:tcPr>
            <w:tcW w:w="9878" w:type="dxa"/>
            <w:shd w:val="clear" w:color="auto" w:fill="EDEDED"/>
          </w:tcPr>
          <w:p w14:paraId="70C99478" w14:textId="77777777" w:rsidR="00567DC4" w:rsidRDefault="00000000">
            <w:r>
              <w:rPr>
                <w:b/>
                <w:sz w:val="22"/>
              </w:rPr>
              <w:t>Interpretive Method</w:t>
            </w:r>
          </w:p>
          <w:p w14:paraId="0051AC8B" w14:textId="77777777" w:rsidR="00567DC4" w:rsidRDefault="00000000">
            <w:r>
              <w:t>Respect the words. Understand their world. Establish what the text meant there. Then ask how its truth speaks here.</w:t>
            </w:r>
          </w:p>
        </w:tc>
      </w:tr>
    </w:tbl>
    <w:p w14:paraId="512731E3" w14:textId="77777777" w:rsidR="00567DC4" w:rsidRDefault="00567DC4"/>
    <w:p w14:paraId="67B1B8A4" w14:textId="77777777" w:rsidR="00567DC4" w:rsidRDefault="00000000">
      <w:pPr>
        <w:spacing w:before="900"/>
        <w:jc w:val="center"/>
      </w:pPr>
      <w:r>
        <w:rPr>
          <w:b/>
          <w:sz w:val="26"/>
        </w:rPr>
        <w:t>David V. Lott, Ph.D.</w:t>
      </w:r>
    </w:p>
    <w:p w14:paraId="280549FD" w14:textId="77777777" w:rsidR="00567DC4" w:rsidRDefault="00000000">
      <w:r>
        <w:br w:type="page"/>
      </w:r>
    </w:p>
    <w:p w14:paraId="6DF443A7" w14:textId="77777777" w:rsidR="00567DC4" w:rsidRDefault="00000000">
      <w:pPr>
        <w:pStyle w:val="Heading1"/>
      </w:pPr>
      <w:r>
        <w:lastRenderedPageBreak/>
        <w:t>Purpose and Expositional Thesis</w:t>
      </w:r>
    </w:p>
    <w:p w14:paraId="4ED44837" w14:textId="77777777" w:rsidR="00567DC4" w:rsidRDefault="00000000">
      <w:r>
        <w:t>Daniel 3 is often remembered as the story of three men in a fiery furnace, but the chapter is fundamentally a confrontation over worship. Chapter 1 asked whether faithful identity could survive cultural assimilation. Chapter 2 asked who possesses wisdom and who governs the succession of kingdoms. Chapter 3 asks what the servant of God must do when political authority crosses the boundary from governing conduct to demanding worship.</w:t>
      </w:r>
    </w:p>
    <w:p w14:paraId="40E34B35" w14:textId="77777777" w:rsidR="00567DC4" w:rsidRDefault="00000000">
      <w:r>
        <w:t>The chapter deliberately places Nebuchadnezzar’s image after the dream of Daniel 2. In chapter 2, the king was told that he was the head of gold, but that other kingdoms would follow and that the God of heaven would ultimately establish an everlasting kingdom (Daniel 2:37–45). In chapter 3, Nebuchadnezzar erects an image entirely of gold. The text never explicitly says that the king built the image in defiance of the dream, so that connection should not be asserted as a historical fact. Literarily, however, the juxtaposition is difficult to miss: the king who was told that his golden kingdom was temporary now establishes a golden image before which the representatives of his empire must bow.</w:t>
      </w:r>
    </w:p>
    <w:tbl>
      <w:tblPr>
        <w:tblW w:w="0" w:type="auto"/>
        <w:jc w:val="center"/>
        <w:tblLook w:val="04A0" w:firstRow="1" w:lastRow="0" w:firstColumn="1" w:lastColumn="0" w:noHBand="0" w:noVBand="1"/>
      </w:tblPr>
      <w:tblGrid>
        <w:gridCol w:w="9878"/>
      </w:tblGrid>
      <w:tr w:rsidR="00567DC4" w14:paraId="0BDF299A" w14:textId="77777777">
        <w:trPr>
          <w:jc w:val="center"/>
        </w:trPr>
        <w:tc>
          <w:tcPr>
            <w:tcW w:w="9878" w:type="dxa"/>
            <w:shd w:val="clear" w:color="auto" w:fill="EDEDED"/>
          </w:tcPr>
          <w:p w14:paraId="6AC9194D" w14:textId="77777777" w:rsidR="00567DC4" w:rsidRDefault="00000000">
            <w:r>
              <w:rPr>
                <w:b/>
                <w:sz w:val="22"/>
              </w:rPr>
              <w:t>Expositional Thesis</w:t>
            </w:r>
          </w:p>
          <w:p w14:paraId="3FDC9223" w14:textId="77777777" w:rsidR="00567DC4" w:rsidRDefault="00000000">
            <w:r>
              <w:t>Daniel 3 teaches that political authority becomes idolatrous when it demands the allegiance that belongs to God alone, and that faithful obedience rests not on the certainty of deliverance but on the conviction that God remains worthy of worship whether He rescues His servants or permits them to suffer.</w:t>
            </w:r>
          </w:p>
        </w:tc>
      </w:tr>
    </w:tbl>
    <w:p w14:paraId="0B4BA71B" w14:textId="77777777" w:rsidR="00567DC4" w:rsidRDefault="00567DC4"/>
    <w:p w14:paraId="70566616" w14:textId="77777777" w:rsidR="00567DC4" w:rsidRDefault="00000000">
      <w:pPr>
        <w:pStyle w:val="Heading1"/>
      </w:pPr>
      <w:r>
        <w:t>I. Historical Hermeneutics: Imperial Worship on the Plain of Dura</w:t>
      </w:r>
    </w:p>
    <w:p w14:paraId="3D974B6F" w14:textId="77777777" w:rsidR="00567DC4" w:rsidRDefault="00000000">
      <w:pPr>
        <w:pStyle w:val="Heading2"/>
      </w:pPr>
      <w:r>
        <w:t>An Undated Event in Nebuchadnezzar’s Reign</w:t>
      </w:r>
    </w:p>
    <w:p w14:paraId="7035BB76" w14:textId="77777777" w:rsidR="00567DC4" w:rsidRDefault="00000000">
      <w:r>
        <w:t>Unlike Daniel 2, chapter 3 supplies no regnal year. We therefore cannot determine precisely how much time has passed. The chapter clearly occurs after Shadrach, Meshach, and Abed-nego have been placed over the administration of the province of Babylon (Daniel 2:49; 3:12), but attempts to assign the event to a particular year remain conjectural. Some ancient Greek textual traditions associate the event with Nebuchadnezzar’s eighteenth year, but the Aramaic text of Daniel does not provide that date.</w:t>
      </w:r>
    </w:p>
    <w:p w14:paraId="58658B69" w14:textId="77777777" w:rsidR="00567DC4" w:rsidRDefault="00000000">
      <w:r>
        <w:t>The absence of Daniel from the narrative has likewise generated considerable speculation. Daniel may have been elsewhere on royal business, exempt from the ceremony, or present in circumstances the text does not describe. None of these explanations is stated. Responsible exposition should resist inventing a solution. The narrative focuses deliberately on Hananiah, Mishael, and Azariah—now repeatedly called by their Babylonian names, Shadrach, Meshach, and Abed-nego.</w:t>
      </w:r>
    </w:p>
    <w:p w14:paraId="4AA22A90" w14:textId="77777777" w:rsidR="00567DC4" w:rsidRDefault="00000000">
      <w:pPr>
        <w:pStyle w:val="Heading2"/>
      </w:pPr>
      <w:r>
        <w:t>The Image and the Plain of Dura</w:t>
      </w:r>
    </w:p>
    <w:p w14:paraId="4A47B3F9" w14:textId="77777777" w:rsidR="00567DC4" w:rsidRDefault="00000000">
      <w:r>
        <w:t>Nebuchadnezzar erects a צְלֵם (ṣĕlēm), an Aramaic word meaning an image, statue, or representation, on the plain of Dura in the province of Babylon (Daniel 3:1). The image is sixty cubits high and six cubits wide—roughly ninety feet by nine feet if an eighteen-inch cubit is assumed. Such proportions are unusually slender for a conventional human statue and may include a pedestal or may reflect a non-anthropomorphic monumental form. The text never identifies precisely whom or what the image represented.</w:t>
      </w:r>
    </w:p>
    <w:p w14:paraId="3BD0333F" w14:textId="77777777" w:rsidR="00567DC4" w:rsidRDefault="00000000">
      <w:r>
        <w:t>The statement that it was “of gold” does not require a ninety-foot object of solid gold. Ancient biblical and Near Eastern usage can describe an object by its visible precious-metal covering even when the underlying structure is wood or another material (cf. Exodus 30:1–3; Isaiah 40:19). Monumental images plated or overlaid with precious metals are entirely plausible within the ancient world.</w:t>
      </w:r>
    </w:p>
    <w:p w14:paraId="3D4ABEEB" w14:textId="77777777" w:rsidR="00567DC4" w:rsidRDefault="00000000">
      <w:r>
        <w:t xml:space="preserve">Dura derives from a Semitic term associated with a wall or enclosed place and occurs in several Mesopotamian place names. Daniel specifies that this Dura was within the province of Babylon (Daniel 3:1), </w:t>
      </w:r>
      <w:r>
        <w:lastRenderedPageBreak/>
        <w:t>but its exact archaeological location has not been securely established. Proposed sites near Babylon are possible, yet no excavated platform can responsibly be identified as the base of Nebuchadnezzar’s image with certainty.</w:t>
      </w:r>
    </w:p>
    <w:p w14:paraId="778B1EB3" w14:textId="77777777" w:rsidR="00567DC4" w:rsidRDefault="00000000">
      <w:pPr>
        <w:pStyle w:val="Heading2"/>
      </w:pPr>
      <w:r>
        <w:t>A Religious Ceremony—and an Imperial Loyalty Ceremony</w:t>
      </w:r>
    </w:p>
    <w:p w14:paraId="2F25B75C" w14:textId="77777777" w:rsidR="00567DC4" w:rsidRDefault="00000000">
      <w:r>
        <w:t>Nebuchadnezzar summons an extraordinary list of imperial officials: satraps, prefects, governors, counselors, treasurers, judges, magistrates, and the rulers of the provinces (Daniel 3:2–3). The repetition is intentionally overwhelming. The ceremony gathers the administrative machinery of the empire before one object and requires one public response.</w:t>
      </w:r>
    </w:p>
    <w:p w14:paraId="54F8017D" w14:textId="77777777" w:rsidR="00567DC4" w:rsidRDefault="00000000">
      <w:r>
        <w:t>The text unquestionably calls the required action worship. The officials are commanded to “fall down and worship” the image (Daniel 3:5–6). Yet in the ancient world political and religious allegiance were not separated as neatly as modern Western categories often assume. A public act of worship before a royal image or state-sponsored cultic object could simultaneously express religious submission and political loyalty. Daniel 3 therefore presents a powerful form of coerced unity: the empire seeks visible uniformity by requiring every official to perform the same act at the same signal.</w:t>
      </w:r>
    </w:p>
    <w:p w14:paraId="495DF3AC" w14:textId="77777777" w:rsidR="00567DC4" w:rsidRDefault="00000000">
      <w:r>
        <w:t>The repeated phrase “peoples, nations and men of every language” (Daniel 3:4, 7, 29) reinforces the imperial scale of the event. Nebuchadnezzar’s kingdom contains diverse populations, languages, and conquered peoples. The ceremony creates unity not by erasing those differences but by demanding one common act of allegiance.</w:t>
      </w:r>
    </w:p>
    <w:p w14:paraId="3459F077" w14:textId="77777777" w:rsidR="00567DC4" w:rsidRDefault="00000000">
      <w:pPr>
        <w:pStyle w:val="Heading2"/>
      </w:pPr>
      <w:r>
        <w:t>The Furnace in Babylonian Context</w:t>
      </w:r>
    </w:p>
    <w:p w14:paraId="796ADD0B" w14:textId="77777777" w:rsidR="00567DC4" w:rsidRDefault="00000000">
      <w:r>
        <w:t>The “furnace of blazing fire” (Daniel 3:6) belongs naturally within the material world of Mesopotamia. Babylonian monumental construction depended heavily on brick, including kiln-fired and glazed bricks. Large high-temperature furnaces were therefore familiar industrial installations rather than imaginary instruments created for the story.</w:t>
      </w:r>
    </w:p>
    <w:p w14:paraId="13AEEAB5" w14:textId="77777777" w:rsidR="00567DC4" w:rsidRDefault="00000000">
      <w:r>
        <w:t>Burning as a form of punishment also has biblical precedent in a Babylonian setting. Jeremiah speaks of the false prophets Zedekiah and Ahab, whom Nebuchadnezzar “roasted in the fire” (Jeremiah 29:21–22). The precise method need not have been identical to Daniel 3, but Jeremiah independently shows that death by burning could be associated with Babylonian royal punishment.</w:t>
      </w:r>
    </w:p>
    <w:p w14:paraId="386ED109" w14:textId="77777777" w:rsidR="00567DC4" w:rsidRDefault="00000000">
      <w:pPr>
        <w:pStyle w:val="Heading1"/>
      </w:pPr>
      <w:r>
        <w:t>II. Literary and Linguistic Hermeneutics: The Sound of Compulsory Worship</w:t>
      </w:r>
    </w:p>
    <w:p w14:paraId="0E56115A" w14:textId="77777777" w:rsidR="00567DC4" w:rsidRDefault="00000000">
      <w:pPr>
        <w:pStyle w:val="Heading2"/>
      </w:pPr>
      <w:r>
        <w:t>Daniel 3:1–7 — Repetition as Literary Pressure</w:t>
      </w:r>
    </w:p>
    <w:p w14:paraId="16E45D53" w14:textId="77777777" w:rsidR="00567DC4" w:rsidRDefault="00000000">
      <w:r>
        <w:t>Daniel 3 is deliberately repetitive. Modern readers may be tempted to shorten the lists of officials and musical instruments, but the repetition is part of the literary strategy. The same officials are named, the same instruments are recited, the same command is repeated, and the same language of falling down and worshiping returns again and again (Daniel 3:2–7, 10–15). The effect is almost ceremonial. The reader hears the machinery of conformity operating.</w:t>
      </w:r>
    </w:p>
    <w:p w14:paraId="51DCF266" w14:textId="77777777" w:rsidR="00567DC4" w:rsidRDefault="00000000">
      <w:r>
        <w:t>The repeated verb סְגִד (sĕgid), “to prostrate oneself, do homage, worship,” is central to the chapter. Physical posture becomes the visible test of allegiance. The empire does not demand merely an inward opinion; it demands an observable bodily act. One can imagine how easy compliance might have been rationalized: bow outwardly while believing differently inwardly. The three Judeans reject that division because the bodily act itself communicates worship.</w:t>
      </w:r>
    </w:p>
    <w:p w14:paraId="244C0434" w14:textId="77777777" w:rsidR="00567DC4" w:rsidRDefault="00000000">
      <w:pPr>
        <w:pStyle w:val="Heading2"/>
      </w:pPr>
      <w:r>
        <w:lastRenderedPageBreak/>
        <w:t>The Musical Instruments and the Greek Vocabulary Question</w:t>
      </w:r>
    </w:p>
    <w:p w14:paraId="134A0DDE" w14:textId="77777777" w:rsidR="00567DC4" w:rsidRDefault="00000000">
      <w:r>
        <w:t>The orchestra includes the horn, pipe, lyre, trigon, psaltery, and another instrument traditionally rendered in several ways, followed by “all kinds of music” (Daniel 3:5, 7, 10, 15). Several Aramaic instrument names are related to Greek terms, particularly qîtārôs, psantērîn, and sympōnyâ. These words have long figured in debates about the date of Daniel.</w:t>
      </w:r>
    </w:p>
    <w:p w14:paraId="1B02C25C" w14:textId="77777777" w:rsidR="00567DC4" w:rsidRDefault="00000000">
      <w:r>
        <w:t>The linguistic evidence should be handled more carefully than older arguments sometimes allowed. Greek cultural contact with the Near East existed before Alexander, so the presence of a small number of Greek musical terms does not by itself prove a second-century date. At the same time, their presence is genuine linguistic evidence and should not be dismissed. Recent scholarship has even revisited whether the forms should be understood simply as ordinary lexical loanwords or as a more complex instance of multilingual usage. The proper conclusion is modest: the musical vocabulary belongs within the cumulative linguistic discussion of Daniel’s date, but it cannot carry the entire dating argument by itself.</w:t>
      </w:r>
    </w:p>
    <w:p w14:paraId="53E70C8D" w14:textId="77777777" w:rsidR="00567DC4" w:rsidRDefault="00000000">
      <w:pPr>
        <w:pStyle w:val="Heading2"/>
      </w:pPr>
      <w:r>
        <w:t>Daniel 3:8–12 — “They Ate the Pieces of the Jews”</w:t>
      </w:r>
    </w:p>
    <w:p w14:paraId="61D961DA" w14:textId="77777777" w:rsidR="00567DC4" w:rsidRDefault="00000000">
      <w:r>
        <w:t>Certain Chaldeans come forward and accuse the Jews (Daniel 3:8). The Aramaic idiom is vivid: אֲכַל קַרְצֵיהוֹן (ʾăkal qarṣêhôn), literally something like “ate their pieces.” The idiom denotes malicious accusation or slander. The accusers do more than report a technical violation; they frame the three men as officials who disregard the king, refuse his gods, and will not worship his image (Daniel 3:12).</w:t>
      </w:r>
    </w:p>
    <w:p w14:paraId="6B8BBFDC" w14:textId="77777777" w:rsidR="00567DC4" w:rsidRDefault="00000000">
      <w:r>
        <w:t>The accusation also exposes the vulnerability of faithful minorities who have been elevated within an imperial bureaucracy. Shadrach, Meshach, and Abed-nego hold positions of authority because Daniel requested their appointment (Daniel 2:49). Their success does not remove cultural hostility. In fact, visibility can make fidelity easier to observe and easier to challenge.</w:t>
      </w:r>
    </w:p>
    <w:p w14:paraId="6B4C48B1" w14:textId="77777777" w:rsidR="00567DC4" w:rsidRDefault="00000000">
      <w:pPr>
        <w:pStyle w:val="Heading2"/>
      </w:pPr>
      <w:r>
        <w:t>Daniel 3:13–15 — The King’s Question</w:t>
      </w:r>
    </w:p>
    <w:p w14:paraId="688D8C2F" w14:textId="77777777" w:rsidR="00567DC4" w:rsidRDefault="00000000">
      <w:r>
        <w:t>Nebuchadnezzar responds in rage and fury, but he appears to give the men another opportunity to comply (Daniel 3:13–15). He repeats the musical signal and the demand to worship. Then he asks the question that brings the theological conflict into focus: “What god is there who can deliver you out of my hands?” (Daniel 3:15).</w:t>
      </w:r>
    </w:p>
    <w:p w14:paraId="1947D7D8" w14:textId="77777777" w:rsidR="00567DC4" w:rsidRDefault="00000000">
      <w:r>
        <w:t>The question is more than a threat. It is a claim about sovereignty. Nebuchadnezzar has already confessed that Daniel’s God is “a God of gods and a Lord of kings” after the revelation of the dream (Daniel 2:47), yet here he speaks as though his own authority defines the limit of divine power. Daniel 3 will answer the question not through argument but through deliverance.</w:t>
      </w:r>
    </w:p>
    <w:p w14:paraId="74303B1A" w14:textId="77777777" w:rsidR="00567DC4" w:rsidRDefault="00000000">
      <w:pPr>
        <w:pStyle w:val="Heading2"/>
      </w:pPr>
      <w:r>
        <w:t>Daniel 3:16–18 — Faith without Presumption</w:t>
      </w:r>
    </w:p>
    <w:p w14:paraId="79585924" w14:textId="77777777" w:rsidR="00567DC4" w:rsidRDefault="00000000">
      <w:r>
        <w:t>The response of Shadrach, Meshach, and Abed-nego is among the most mature statements of faith in Scripture. They do not need to construct a lengthy defense before the king (Daniel 3:16). They know that the God whom they serve is able to deliver them from the furnace and from Nebuchadnezzar’s hand (Daniel 3:17). Their faith begins with divine ability.</w:t>
      </w:r>
    </w:p>
    <w:p w14:paraId="4D60AE4B" w14:textId="77777777" w:rsidR="00567DC4" w:rsidRDefault="00000000">
      <w:r>
        <w:t>Then comes the critical phrase: “But even if He does not” (Daniel 3:18). Their obedience is not conditional upon receiving the outcome they desire. They distinguish between what God can do and what God has promised to do in this particular circumstance. God is able to deliver; they do not presume that He must.</w:t>
      </w:r>
    </w:p>
    <w:p w14:paraId="110B4299" w14:textId="77777777" w:rsidR="00567DC4" w:rsidRDefault="00000000">
      <w:r>
        <w:t>This prevents the passage from becoming a formula in which sufficient faith guarantees escape from suffering. Biblical faith is not confidence that God will always prevent the furnace. It is confidence that God remains God even if obedience leads into it. Their final statement is therefore not primarily about deliverance: “we are not going to serve your gods or worship the golden image” (Daniel 3:18). Worship has already been decided before the outcome is known.</w:t>
      </w:r>
    </w:p>
    <w:tbl>
      <w:tblPr>
        <w:tblW w:w="0" w:type="auto"/>
        <w:jc w:val="center"/>
        <w:tblLook w:val="04A0" w:firstRow="1" w:lastRow="0" w:firstColumn="1" w:lastColumn="0" w:noHBand="0" w:noVBand="1"/>
      </w:tblPr>
      <w:tblGrid>
        <w:gridCol w:w="9878"/>
      </w:tblGrid>
      <w:tr w:rsidR="00567DC4" w14:paraId="430510B8" w14:textId="77777777">
        <w:trPr>
          <w:jc w:val="center"/>
        </w:trPr>
        <w:tc>
          <w:tcPr>
            <w:tcW w:w="9878" w:type="dxa"/>
            <w:shd w:val="clear" w:color="auto" w:fill="EDEDED"/>
          </w:tcPr>
          <w:p w14:paraId="7806A8C4" w14:textId="77777777" w:rsidR="00567DC4" w:rsidRDefault="00000000">
            <w:r>
              <w:rPr>
                <w:b/>
                <w:sz w:val="22"/>
              </w:rPr>
              <w:lastRenderedPageBreak/>
              <w:t>The Faith of Daniel 3:17–18</w:t>
            </w:r>
          </w:p>
          <w:p w14:paraId="32856875" w14:textId="77777777" w:rsidR="00567DC4" w:rsidRDefault="00000000">
            <w:r>
              <w:t>God is able to deliver us. God may deliver us. But even if He does not, He is still God, and we will not worship another.</w:t>
            </w:r>
          </w:p>
        </w:tc>
      </w:tr>
    </w:tbl>
    <w:p w14:paraId="345F2FDF" w14:textId="77777777" w:rsidR="00567DC4" w:rsidRDefault="00567DC4"/>
    <w:p w14:paraId="42BC4D5C" w14:textId="77777777" w:rsidR="00567DC4" w:rsidRDefault="00000000">
      <w:pPr>
        <w:pStyle w:val="Heading1"/>
      </w:pPr>
      <w:r>
        <w:t>III. The Furnace: Human Rage and Divine Presence</w:t>
      </w:r>
    </w:p>
    <w:p w14:paraId="4CF0A9F9" w14:textId="77777777" w:rsidR="00567DC4" w:rsidRDefault="00000000">
      <w:pPr>
        <w:pStyle w:val="Heading2"/>
      </w:pPr>
      <w:r>
        <w:t>Daniel 3:19–23 — Seven Times Hotter</w:t>
      </w:r>
    </w:p>
    <w:p w14:paraId="47B59058" w14:textId="77777777" w:rsidR="00567DC4" w:rsidRDefault="00000000">
      <w:r>
        <w:t>Nebuchadnezzar’s expression changes toward the three men, and he orders the furnace heated “seven times more than it was usually heated” (Daniel 3:19). The phrase functions naturally as an idiom of extreme intensity rather than as a technical measurement of furnace temperature. The king’s attempt to intensify the punishment becomes self-defeating: the fire kills the soldiers who carry the bound men to the furnace (Daniel 3:20–22).</w:t>
      </w:r>
    </w:p>
    <w:p w14:paraId="1B6F6679" w14:textId="77777777" w:rsidR="00567DC4" w:rsidRDefault="00000000">
      <w:r>
        <w:t>The narrative emphasizes that the men enter the fire fully clothed and securely bound (Daniel 3:21, 23). These details prepare for the inspection at the end of the story. Their survival cannot later be explained as a near miss or a reduced exposure.</w:t>
      </w:r>
    </w:p>
    <w:p w14:paraId="1BBAF604" w14:textId="77777777" w:rsidR="00567DC4" w:rsidRDefault="00000000">
      <w:pPr>
        <w:pStyle w:val="Heading2"/>
      </w:pPr>
      <w:r>
        <w:t>Daniel 3:24–25 — The Fourth Figure</w:t>
      </w:r>
    </w:p>
    <w:p w14:paraId="6E7CCAEC" w14:textId="77777777" w:rsidR="00567DC4" w:rsidRDefault="00000000">
      <w:r>
        <w:t>Nebuchadnezzar suddenly rises in astonishment. Three men were thrown into the fire, but he sees four men walking unbound and unharmed (Daniel 3:24–25). The fire that was intended to destroy them has accomplished only one visible effect: the men who entered bound are now walking free.</w:t>
      </w:r>
    </w:p>
    <w:p w14:paraId="4481A6E9" w14:textId="77777777" w:rsidR="00567DC4" w:rsidRDefault="00000000">
      <w:r>
        <w:t>Nebuchadnezzar describes the fourth figure with the Aramaic phrase דָּמֵה לְבַר־אֱלָהִין (dāmēh lĕbar-ʾĕlāhîn). Older English translations famously render this “like the Son of God,” while many modern translations render it “like a son of the gods” or “like a divine being.” Grammatically and historically, the words are spoken by a pagan king from within his own conceptual world and do not require us to conclude that Nebuchadnezzar consciously identified the figure as the preincarnate Christ.</w:t>
      </w:r>
    </w:p>
    <w:p w14:paraId="3CED1721" w14:textId="77777777" w:rsidR="00567DC4" w:rsidRDefault="00000000">
      <w:r>
        <w:t>Verse 28 supplies an important internal control when Nebuchadnezzar says that God “sent His angel” and delivered His servants. The narrative therefore clearly presents a supernatural messenger or divine figure sent by God. Christian readers have long seen the scene as compatible with a Christophany, and that theological possibility can be discussed, but the text itself stops short of explicitly identifying the fourth figure as the preincarnate Son. Our exposition should preserve that distinction.</w:t>
      </w:r>
    </w:p>
    <w:p w14:paraId="6E9D28B3" w14:textId="77777777" w:rsidR="00567DC4" w:rsidRDefault="00000000">
      <w:pPr>
        <w:pStyle w:val="Heading2"/>
      </w:pPr>
      <w:r>
        <w:t>Presence, Not Merely Rescue</w:t>
      </w:r>
    </w:p>
    <w:p w14:paraId="1E2F4175" w14:textId="77777777" w:rsidR="00567DC4" w:rsidRDefault="00000000">
      <w:r>
        <w:t>The most striking feature of the scene is that the divine messenger appears within the furnace. God could have prevented the men from being thrown in, extinguished the furnace, or struck Nebuchadnezzar before the sentence was carried out. Instead, the narrative portrays divine presence in the place of suffering.</w:t>
      </w:r>
    </w:p>
    <w:p w14:paraId="15EEE4AC" w14:textId="77777777" w:rsidR="00567DC4" w:rsidRDefault="00000000">
      <w:r>
        <w:t>This resonates canonically with God’s promise through Isaiah: “When you walk through the fire, you will not be scorched, nor will the flame burn you” (Isaiah 43:2). Isaiah 43 addresses Israel’s covenant restoration and should not be reduced to a direct prediction of Daniel 3, yet the theological correspondence is powerful. The God who promises His presence with His people through fire is visibly present with His servants in Babylon’s furnace.</w:t>
      </w:r>
    </w:p>
    <w:p w14:paraId="08C752AF" w14:textId="77777777" w:rsidR="00567DC4" w:rsidRDefault="00000000">
      <w:pPr>
        <w:pStyle w:val="Heading2"/>
      </w:pPr>
      <w:r>
        <w:t>Daniel 3:26–27 — The Fire Has No Dominion</w:t>
      </w:r>
    </w:p>
    <w:p w14:paraId="61BBBFE4" w14:textId="77777777" w:rsidR="00567DC4" w:rsidRDefault="00000000">
      <w:r>
        <w:t xml:space="preserve">Nebuchadnezzar approaches the furnace and calls the men “servants of the Most High God” (Daniel 3:26). The officials who had gathered to enforce conformity now gather to inspect the result. They observe that the </w:t>
      </w:r>
      <w:r>
        <w:lastRenderedPageBreak/>
        <w:t>fire had no effect on the men’s bodies, the hair of their heads was not singed, their clothing was undamaged, and even the smell of fire was absent (Daniel 3:27).</w:t>
      </w:r>
    </w:p>
    <w:p w14:paraId="7ABD7021" w14:textId="77777777" w:rsidR="00567DC4" w:rsidRDefault="00000000">
      <w:r>
        <w:t>The completeness of the description is literary evidence of complete deliverance. The same administrative establishment that witnessed the demanded worship now becomes witness to the failure of the king’s punishment. The public ceremony intended to display Nebuchadnezzar’s authority becomes a public demonstration that his authority has limits.</w:t>
      </w:r>
    </w:p>
    <w:p w14:paraId="5083AE2E" w14:textId="77777777" w:rsidR="00567DC4" w:rsidRDefault="00000000">
      <w:pPr>
        <w:pStyle w:val="Heading2"/>
      </w:pPr>
      <w:r>
        <w:t>Daniel 3:28–30 — Nebuchadnezzar’s Confession and Its Limits</w:t>
      </w:r>
    </w:p>
    <w:p w14:paraId="66BDEEDA" w14:textId="77777777" w:rsidR="00567DC4" w:rsidRDefault="00000000">
      <w:r>
        <w:t>Nebuchadnezzar blesses the God of Shadrach, Meshach, and Abed-nego because He sent His angel and delivered servants who trusted Him, violated the king’s command, and yielded their bodies rather than serve or worship any god except their own God (Daniel 3:28). Remarkably, the king himself now summarizes the theological point of the chapter.</w:t>
      </w:r>
    </w:p>
    <w:p w14:paraId="1F8120BA" w14:textId="77777777" w:rsidR="00567DC4" w:rsidRDefault="00000000">
      <w:r>
        <w:t>Yet Nebuchadnezzar still responds as an ancient autocrat. He issues another coercive decree, threatening destruction against anyone who speaks offensively against the God of the three Judeans (Daniel 3:29). He has learned that their God can deliver, but he has not yet learned humility. Daniel 4 will address that deeper problem.</w:t>
      </w:r>
    </w:p>
    <w:p w14:paraId="37D138E4" w14:textId="77777777" w:rsidR="00567DC4" w:rsidRDefault="00000000">
      <w:r>
        <w:t>The three men are then caused to prosper in the province of Babylon (Daniel 3:30). Their faithfulness does not remove them from public service. They return to their administrative setting having demonstrated that service to the empire has a boundary: they can serve the king, but they cannot worship what the king commands.</w:t>
      </w:r>
    </w:p>
    <w:p w14:paraId="70805AF1" w14:textId="77777777" w:rsidR="00567DC4" w:rsidRDefault="00000000">
      <w:pPr>
        <w:pStyle w:val="Heading1"/>
      </w:pPr>
      <w:r>
        <w:t>IV. Literary Structure and the Aramaic Architecture</w:t>
      </w:r>
    </w:p>
    <w:tbl>
      <w:tblPr>
        <w:tblStyle w:val="TableGrid"/>
        <w:tblW w:w="0" w:type="auto"/>
        <w:jc w:val="center"/>
        <w:tblLook w:val="04A0" w:firstRow="1" w:lastRow="0" w:firstColumn="1" w:lastColumn="0" w:noHBand="0" w:noVBand="1"/>
      </w:tblPr>
      <w:tblGrid>
        <w:gridCol w:w="3290"/>
        <w:gridCol w:w="3288"/>
        <w:gridCol w:w="3290"/>
      </w:tblGrid>
      <w:tr w:rsidR="00567DC4" w14:paraId="671BD3B5" w14:textId="77777777">
        <w:trPr>
          <w:jc w:val="center"/>
        </w:trPr>
        <w:tc>
          <w:tcPr>
            <w:tcW w:w="3293" w:type="dxa"/>
          </w:tcPr>
          <w:p w14:paraId="072DC0C5" w14:textId="77777777" w:rsidR="00567DC4" w:rsidRDefault="00000000">
            <w:r>
              <w:t>Movement</w:t>
            </w:r>
          </w:p>
        </w:tc>
        <w:tc>
          <w:tcPr>
            <w:tcW w:w="3293" w:type="dxa"/>
          </w:tcPr>
          <w:p w14:paraId="01490ABB" w14:textId="77777777" w:rsidR="00567DC4" w:rsidRDefault="00000000">
            <w:r>
              <w:t>Text</w:t>
            </w:r>
          </w:p>
        </w:tc>
        <w:tc>
          <w:tcPr>
            <w:tcW w:w="3293" w:type="dxa"/>
          </w:tcPr>
          <w:p w14:paraId="6A2D4E25" w14:textId="77777777" w:rsidR="00567DC4" w:rsidRDefault="00000000">
            <w:r>
              <w:t>Function</w:t>
            </w:r>
          </w:p>
        </w:tc>
      </w:tr>
      <w:tr w:rsidR="00567DC4" w14:paraId="2CC05DCC" w14:textId="77777777">
        <w:trPr>
          <w:jc w:val="center"/>
        </w:trPr>
        <w:tc>
          <w:tcPr>
            <w:tcW w:w="3293" w:type="dxa"/>
          </w:tcPr>
          <w:p w14:paraId="3195AC22" w14:textId="77777777" w:rsidR="00567DC4" w:rsidRDefault="00000000">
            <w:r>
              <w:t>Imperial image and command</w:t>
            </w:r>
          </w:p>
        </w:tc>
        <w:tc>
          <w:tcPr>
            <w:tcW w:w="3293" w:type="dxa"/>
          </w:tcPr>
          <w:p w14:paraId="55F964F9" w14:textId="77777777" w:rsidR="00567DC4" w:rsidRDefault="00000000">
            <w:r>
              <w:t>3:1–7</w:t>
            </w:r>
          </w:p>
        </w:tc>
        <w:tc>
          <w:tcPr>
            <w:tcW w:w="3293" w:type="dxa"/>
          </w:tcPr>
          <w:p w14:paraId="5BA38F61" w14:textId="77777777" w:rsidR="00567DC4" w:rsidRDefault="00000000">
            <w:r>
              <w:t>The empire demands uniform worship.</w:t>
            </w:r>
          </w:p>
        </w:tc>
      </w:tr>
      <w:tr w:rsidR="00567DC4" w14:paraId="6333481B" w14:textId="77777777">
        <w:trPr>
          <w:jc w:val="center"/>
        </w:trPr>
        <w:tc>
          <w:tcPr>
            <w:tcW w:w="3293" w:type="dxa"/>
          </w:tcPr>
          <w:p w14:paraId="6ADB219D" w14:textId="77777777" w:rsidR="00567DC4" w:rsidRDefault="00000000">
            <w:r>
              <w:t>Accusation</w:t>
            </w:r>
          </w:p>
        </w:tc>
        <w:tc>
          <w:tcPr>
            <w:tcW w:w="3293" w:type="dxa"/>
          </w:tcPr>
          <w:p w14:paraId="73A58150" w14:textId="77777777" w:rsidR="00567DC4" w:rsidRDefault="00000000">
            <w:r>
              <w:t>3:8–12</w:t>
            </w:r>
          </w:p>
        </w:tc>
        <w:tc>
          <w:tcPr>
            <w:tcW w:w="3293" w:type="dxa"/>
          </w:tcPr>
          <w:p w14:paraId="2F5ECEE1" w14:textId="77777777" w:rsidR="00567DC4" w:rsidRDefault="00000000">
            <w:r>
              <w:t>Faithful difference becomes visible.</w:t>
            </w:r>
          </w:p>
        </w:tc>
      </w:tr>
      <w:tr w:rsidR="00567DC4" w14:paraId="0897138D" w14:textId="77777777">
        <w:trPr>
          <w:jc w:val="center"/>
        </w:trPr>
        <w:tc>
          <w:tcPr>
            <w:tcW w:w="3293" w:type="dxa"/>
          </w:tcPr>
          <w:p w14:paraId="416220C1" w14:textId="77777777" w:rsidR="00567DC4" w:rsidRDefault="00000000">
            <w:r>
              <w:t>Confrontation</w:t>
            </w:r>
          </w:p>
        </w:tc>
        <w:tc>
          <w:tcPr>
            <w:tcW w:w="3293" w:type="dxa"/>
          </w:tcPr>
          <w:p w14:paraId="6C8F69FF" w14:textId="77777777" w:rsidR="00567DC4" w:rsidRDefault="00000000">
            <w:r>
              <w:t>3:13–18</w:t>
            </w:r>
          </w:p>
        </w:tc>
        <w:tc>
          <w:tcPr>
            <w:tcW w:w="3293" w:type="dxa"/>
          </w:tcPr>
          <w:p w14:paraId="54E24C54" w14:textId="77777777" w:rsidR="00567DC4" w:rsidRDefault="00000000">
            <w:r>
              <w:t>The king claims power; the servants confess allegiance.</w:t>
            </w:r>
          </w:p>
        </w:tc>
      </w:tr>
      <w:tr w:rsidR="00567DC4" w14:paraId="26CEC56B" w14:textId="77777777">
        <w:trPr>
          <w:jc w:val="center"/>
        </w:trPr>
        <w:tc>
          <w:tcPr>
            <w:tcW w:w="3293" w:type="dxa"/>
          </w:tcPr>
          <w:p w14:paraId="26D5C451" w14:textId="77777777" w:rsidR="00567DC4" w:rsidRDefault="00000000">
            <w:r>
              <w:t>Condemnation</w:t>
            </w:r>
          </w:p>
        </w:tc>
        <w:tc>
          <w:tcPr>
            <w:tcW w:w="3293" w:type="dxa"/>
          </w:tcPr>
          <w:p w14:paraId="71D924D3" w14:textId="77777777" w:rsidR="00567DC4" w:rsidRDefault="00000000">
            <w:r>
              <w:t>3:19–23</w:t>
            </w:r>
          </w:p>
        </w:tc>
        <w:tc>
          <w:tcPr>
            <w:tcW w:w="3293" w:type="dxa"/>
          </w:tcPr>
          <w:p w14:paraId="3266A4D8" w14:textId="77777777" w:rsidR="00567DC4" w:rsidRDefault="00000000">
            <w:r>
              <w:t>Human authority sends the faithful into the fire.</w:t>
            </w:r>
          </w:p>
        </w:tc>
      </w:tr>
      <w:tr w:rsidR="00567DC4" w14:paraId="3AEF7E3F" w14:textId="77777777">
        <w:trPr>
          <w:jc w:val="center"/>
        </w:trPr>
        <w:tc>
          <w:tcPr>
            <w:tcW w:w="3293" w:type="dxa"/>
          </w:tcPr>
          <w:p w14:paraId="65785044" w14:textId="77777777" w:rsidR="00567DC4" w:rsidRDefault="00000000">
            <w:r>
              <w:t>Divine presence and deliverance</w:t>
            </w:r>
          </w:p>
        </w:tc>
        <w:tc>
          <w:tcPr>
            <w:tcW w:w="3293" w:type="dxa"/>
          </w:tcPr>
          <w:p w14:paraId="53AC3BF6" w14:textId="77777777" w:rsidR="00567DC4" w:rsidRDefault="00000000">
            <w:r>
              <w:t>3:24–27</w:t>
            </w:r>
          </w:p>
        </w:tc>
        <w:tc>
          <w:tcPr>
            <w:tcW w:w="3293" w:type="dxa"/>
          </w:tcPr>
          <w:p w14:paraId="11851E7E" w14:textId="77777777" w:rsidR="00567DC4" w:rsidRDefault="00000000">
            <w:r>
              <w:t>The king discovers a power beyond his own.</w:t>
            </w:r>
          </w:p>
        </w:tc>
      </w:tr>
      <w:tr w:rsidR="00567DC4" w14:paraId="299054B6" w14:textId="77777777">
        <w:trPr>
          <w:jc w:val="center"/>
        </w:trPr>
        <w:tc>
          <w:tcPr>
            <w:tcW w:w="3293" w:type="dxa"/>
          </w:tcPr>
          <w:p w14:paraId="10CB12C1" w14:textId="77777777" w:rsidR="00567DC4" w:rsidRDefault="00000000">
            <w:r>
              <w:t>Confession and restoration</w:t>
            </w:r>
          </w:p>
        </w:tc>
        <w:tc>
          <w:tcPr>
            <w:tcW w:w="3293" w:type="dxa"/>
          </w:tcPr>
          <w:p w14:paraId="599B1DC0" w14:textId="77777777" w:rsidR="00567DC4" w:rsidRDefault="00000000">
            <w:r>
              <w:t>3:28–30</w:t>
            </w:r>
          </w:p>
        </w:tc>
        <w:tc>
          <w:tcPr>
            <w:tcW w:w="3293" w:type="dxa"/>
          </w:tcPr>
          <w:p w14:paraId="2ED12BF6" w14:textId="77777777" w:rsidR="00567DC4" w:rsidRDefault="00000000">
            <w:r>
              <w:t>The persecutor becomes witness to God’s deliverance.</w:t>
            </w:r>
          </w:p>
        </w:tc>
      </w:tr>
    </w:tbl>
    <w:p w14:paraId="210E8384" w14:textId="77777777" w:rsidR="00567DC4" w:rsidRDefault="00000000">
      <w:r>
        <w:t>Within the larger Aramaic structure of Daniel 2–7, chapter 3 corresponds naturally with chapter 6. In Daniel 3, three faithful Jews are threatened with death because they refuse an act of false worship. In Daniel 6, Daniel is threatened with death because he refuses to cease true worship. In chapter 3 the issue is worshiping what must not be worshiped; in chapter 6 the issue is refusing to stop worshiping the One who must be worshiped. Both narratives end with miraculous deliverance and a Gentile king publicly acknowledging the God of Israel.</w:t>
      </w:r>
    </w:p>
    <w:p w14:paraId="44D817AD" w14:textId="77777777" w:rsidR="00567DC4" w:rsidRDefault="00000000">
      <w:pPr>
        <w:pStyle w:val="Heading1"/>
      </w:pPr>
      <w:r>
        <w:lastRenderedPageBreak/>
        <w:t>V. Canonical Hermeneutics: Daniel 3 across Scripture</w:t>
      </w:r>
    </w:p>
    <w:p w14:paraId="31110E95" w14:textId="77777777" w:rsidR="00567DC4" w:rsidRDefault="00000000">
      <w:pPr>
        <w:pStyle w:val="Heading2"/>
      </w:pPr>
      <w:r>
        <w:t>The First and Second Commandments</w:t>
      </w:r>
    </w:p>
    <w:p w14:paraId="76692F96" w14:textId="77777777" w:rsidR="00567DC4" w:rsidRDefault="00000000">
      <w:r>
        <w:t>The theological boundary in Daniel 3 is rooted in Israel’s covenant identity. “You shall have no other gods before Me” and “You shall not make for yourself an idol” establish that worship belongs exclusively to Yahweh (Exodus 20:3–6; Deuteronomy 5:7–10). The three men do not need a special revelation telling them whether to bow. Scripture has already settled the question.</w:t>
      </w:r>
    </w:p>
    <w:p w14:paraId="3C5375F1" w14:textId="77777777" w:rsidR="00567DC4" w:rsidRDefault="00000000">
      <w:pPr>
        <w:pStyle w:val="Heading2"/>
      </w:pPr>
      <w:r>
        <w:t>The Golden Calf and the Golden Image</w:t>
      </w:r>
    </w:p>
    <w:p w14:paraId="68E0807B" w14:textId="77777777" w:rsidR="00567DC4" w:rsidRDefault="00000000">
      <w:r>
        <w:t>Exodus 32 provides an important canonical contrast. At Sinai, Israel makes a golden calf and compromises covenant worship while Moses is on the mountain (Exodus 32:1–8). In Babylon, three exiles stand before another golden object and refuse to bow. Exile has removed them from the land but has not removed the covenant claim of God upon their worship.</w:t>
      </w:r>
    </w:p>
    <w:p w14:paraId="07ADD809" w14:textId="77777777" w:rsidR="00567DC4" w:rsidRDefault="00000000">
      <w:pPr>
        <w:pStyle w:val="Heading2"/>
      </w:pPr>
      <w:r>
        <w:t>Isaiah and the God Who Is Present in Fire</w:t>
      </w:r>
    </w:p>
    <w:p w14:paraId="33459395" w14:textId="77777777" w:rsidR="00567DC4" w:rsidRDefault="00000000">
      <w:r>
        <w:t>Isaiah 43:1–3 promises Israel that waters and fire cannot finally sever God’s covenant presence. Daniel 3 gives narrative embodiment to that theology. The faithful are not promised a life without fire; they discover that the fire is not a place from which God is absent.</w:t>
      </w:r>
    </w:p>
    <w:p w14:paraId="0F3B8B75" w14:textId="77777777" w:rsidR="00567DC4" w:rsidRDefault="00000000">
      <w:pPr>
        <w:pStyle w:val="Heading2"/>
      </w:pPr>
      <w:r>
        <w:t>Jesus and Exclusive Worship</w:t>
      </w:r>
    </w:p>
    <w:p w14:paraId="7A61B030" w14:textId="77777777" w:rsidR="00567DC4" w:rsidRDefault="00000000">
      <w:r>
        <w:t>When Jesus is tempted to bow in exchange for the kingdoms of the world, He answers from Deuteronomy: “You shall worship the Lord your God, and serve Him only” (Matthew 4:8–10; Deuteronomy 6:13). The same boundary governs Daniel 3. Political power, cultural advantage, personal survival, and access to kingdoms cannot justify worship that belongs to God.</w:t>
      </w:r>
    </w:p>
    <w:p w14:paraId="10B1137B" w14:textId="77777777" w:rsidR="00567DC4" w:rsidRDefault="00000000">
      <w:pPr>
        <w:pStyle w:val="Heading2"/>
      </w:pPr>
      <w:r>
        <w:t>Daniel 3 and Revelation 13</w:t>
      </w:r>
    </w:p>
    <w:p w14:paraId="74451AD7" w14:textId="77777777" w:rsidR="00567DC4" w:rsidRDefault="00000000">
      <w:r>
        <w:t>The canonical relationship with Revelation becomes especially significant. Revelation 13 describes a beastly political power, an image associated with that power, compulsory worship, and a death threat against those who refuse to worship the image (Revelation 13:11–15). The similarities are too substantial to treat as accidental. Revelation develops Danielic imagery and presents the final conflict of allegiance using categories already familiar from Daniel.</w:t>
      </w:r>
    </w:p>
    <w:p w14:paraId="1A239D0C" w14:textId="77777777" w:rsidR="00567DC4" w:rsidRDefault="00000000">
      <w:r>
        <w:t>This does not mean every detail of Daniel 3 should be converted into a one-to-one prophecy of Revelation 13. Daniel 3 first describes a historical confrontation in Babylon. Canonically, however, that historical event becomes part of the scriptural vocabulary through which later revelation portrays coercive empire: political power becomes beastly when it claims worship, and faithful saints are identified by their refusal to surrender allegiance to God.</w:t>
      </w:r>
    </w:p>
    <w:p w14:paraId="634CA169" w14:textId="77777777" w:rsidR="00567DC4" w:rsidRDefault="00000000">
      <w:pPr>
        <w:pStyle w:val="Heading1"/>
      </w:pPr>
      <w:r>
        <w:t>VI. Theological Hermeneutics: What Daniel 3 Teaches</w:t>
      </w:r>
    </w:p>
    <w:p w14:paraId="0DD92100" w14:textId="77777777" w:rsidR="00567DC4" w:rsidRDefault="00000000">
      <w:pPr>
        <w:pStyle w:val="Heading2"/>
      </w:pPr>
      <w:r>
        <w:t>1. Government Has Real Authority, but Not Ultimate Authority</w:t>
      </w:r>
    </w:p>
    <w:p w14:paraId="5DD3A709" w14:textId="77777777" w:rsidR="00567DC4" w:rsidRDefault="00000000">
      <w:r>
        <w:t>Shadrach, Meshach, and Abed-nego are government officials, not political revolutionaries (Daniel 2:49; 3:12). They have accepted Babylonian offices and served within the imperial system. Their refusal begins only when obedience to the king would require disobedience to God. Daniel 3 therefore provides a mature theology of limited political obedience: authority deserves respect within its proper sphere, but no ruler possesses the right to command worship.</w:t>
      </w:r>
    </w:p>
    <w:p w14:paraId="1BBBDA4A" w14:textId="77777777" w:rsidR="00567DC4" w:rsidRDefault="00000000">
      <w:pPr>
        <w:pStyle w:val="Heading2"/>
      </w:pPr>
      <w:r>
        <w:lastRenderedPageBreak/>
        <w:t>2. Idolatry Often Arrives as a Demand for Visible Conformity</w:t>
      </w:r>
    </w:p>
    <w:p w14:paraId="10B21071" w14:textId="77777777" w:rsidR="00567DC4" w:rsidRDefault="00000000">
      <w:r>
        <w:t>The three men are not asked to compose a theological treatise affirming the image. They are asked to bow when the music plays. The required act is brief, public, and socially universal. Idolatry can therefore present itself not only as an explicit change of belief but as a seemingly small act of conformity whose meaning contradicts allegiance to God.</w:t>
      </w:r>
    </w:p>
    <w:p w14:paraId="1A2D8470" w14:textId="77777777" w:rsidR="00567DC4" w:rsidRDefault="00000000">
      <w:pPr>
        <w:pStyle w:val="Heading2"/>
      </w:pPr>
      <w:r>
        <w:t>3. Faith Is Not a Contract for Deliverance</w:t>
      </w:r>
    </w:p>
    <w:p w14:paraId="5F3E77CE" w14:textId="77777777" w:rsidR="00567DC4" w:rsidRDefault="00000000">
      <w:r>
        <w:t>Daniel 3:17–18 is central to biblical faith. The men know what God can do, but they do not claim to know what God will do. Their obedience is not purchased by the promise of rescue. This separates faith from presumption and makes worship unconditional.</w:t>
      </w:r>
    </w:p>
    <w:p w14:paraId="7A86FFBC" w14:textId="77777777" w:rsidR="00567DC4" w:rsidRDefault="00000000">
      <w:pPr>
        <w:pStyle w:val="Heading2"/>
      </w:pPr>
      <w:r>
        <w:t>4. God’s Presence May Be Revealed Most Clearly inside the Trial</w:t>
      </w:r>
    </w:p>
    <w:p w14:paraId="280DD0B3" w14:textId="77777777" w:rsidR="00567DC4" w:rsidRDefault="00000000">
      <w:r>
        <w:t>God does not prevent the furnace. His messenger appears within it (Daniel 3:24–25, 28). The chapter therefore refuses the assumption that divine favor must always be measured by avoidance of suffering. Sometimes the clearest evidence of God’s presence appears in the place His servants would never have chosen.</w:t>
      </w:r>
    </w:p>
    <w:p w14:paraId="350C312E" w14:textId="77777777" w:rsidR="00567DC4" w:rsidRDefault="00000000">
      <w:pPr>
        <w:pStyle w:val="Heading2"/>
      </w:pPr>
      <w:r>
        <w:t>5. The Fire Can Remove What Binds without Destroying the Servant</w:t>
      </w:r>
    </w:p>
    <w:p w14:paraId="2FC7767F" w14:textId="77777777" w:rsidR="00567DC4" w:rsidRDefault="00000000">
      <w:r>
        <w:t>The men enter the furnace bound and are seen walking unbound (Daniel 3:21, 23–25). The narrative does not turn this detail into an explicit metaphor, so exposition should not force one. Nevertheless, literarily the irony is striking: the king’s instrument of destruction destroys the restraints while the servants survive.</w:t>
      </w:r>
    </w:p>
    <w:p w14:paraId="1219B63D" w14:textId="77777777" w:rsidR="00567DC4" w:rsidRDefault="00000000">
      <w:pPr>
        <w:pStyle w:val="Heading2"/>
      </w:pPr>
      <w:r>
        <w:t>6. Faithful Witness Can Force the Empire to Acknowledge What It Cannot Control</w:t>
      </w:r>
    </w:p>
    <w:p w14:paraId="7F70FC4D" w14:textId="77777777" w:rsidR="00567DC4" w:rsidRDefault="00000000">
      <w:r>
        <w:t>Nebuchadnezzar begins by asking what god can deliver from his hands (Daniel 3:15). He ends by confessing that no other god can deliver in this way (Daniel 3:29). The king has not yet become humble, but his own words testify that his sovereignty has met a boundary.</w:t>
      </w:r>
    </w:p>
    <w:p w14:paraId="2C8C1461" w14:textId="77777777" w:rsidR="00567DC4" w:rsidRDefault="00000000">
      <w:pPr>
        <w:pStyle w:val="Heading2"/>
      </w:pPr>
      <w:r>
        <w:t>7. The Issue Is Worship before It Is Deliverance</w:t>
      </w:r>
    </w:p>
    <w:p w14:paraId="14F69134" w14:textId="77777777" w:rsidR="00567DC4" w:rsidRDefault="00000000">
      <w:r>
        <w:t>The chapter is often taught as a lesson about surviving furnaces, but the three men make their decision before they know whether they will survive. The central question is not, “Will God get me out?” It is, “Who is worthy of my worship?” Once that question is settled, the furnace cannot settle it differently.</w:t>
      </w:r>
    </w:p>
    <w:p w14:paraId="522D21B3" w14:textId="77777777" w:rsidR="00567DC4" w:rsidRDefault="00000000">
      <w:pPr>
        <w:pStyle w:val="Heading1"/>
      </w:pPr>
      <w:r>
        <w:t>VII. Teaching Synthesis</w:t>
      </w:r>
    </w:p>
    <w:tbl>
      <w:tblPr>
        <w:tblW w:w="0" w:type="auto"/>
        <w:jc w:val="center"/>
        <w:tblLook w:val="04A0" w:firstRow="1" w:lastRow="0" w:firstColumn="1" w:lastColumn="0" w:noHBand="0" w:noVBand="1"/>
      </w:tblPr>
      <w:tblGrid>
        <w:gridCol w:w="9878"/>
      </w:tblGrid>
      <w:tr w:rsidR="00567DC4" w14:paraId="37F61A48" w14:textId="77777777">
        <w:trPr>
          <w:jc w:val="center"/>
        </w:trPr>
        <w:tc>
          <w:tcPr>
            <w:tcW w:w="9878" w:type="dxa"/>
            <w:shd w:val="clear" w:color="auto" w:fill="EDEDED"/>
          </w:tcPr>
          <w:p w14:paraId="2872B781" w14:textId="77777777" w:rsidR="00567DC4" w:rsidRDefault="00000000">
            <w:r>
              <w:rPr>
                <w:b/>
                <w:sz w:val="22"/>
              </w:rPr>
              <w:t>Central Teaching Truth</w:t>
            </w:r>
          </w:p>
          <w:p w14:paraId="53F6A3C8" w14:textId="77777777" w:rsidR="00567DC4" w:rsidRDefault="00000000">
            <w:r>
              <w:t>Faithfulness is not proven by believing that God must keep us from the fire. Faithfulness is proven when we refuse to give another the worship that belongs to God, even when obedience may lead directly into the fire.</w:t>
            </w:r>
          </w:p>
        </w:tc>
      </w:tr>
    </w:tbl>
    <w:p w14:paraId="775B01D6" w14:textId="77777777" w:rsidR="00567DC4" w:rsidRDefault="00567DC4"/>
    <w:p w14:paraId="79626C18" w14:textId="77777777" w:rsidR="00567DC4" w:rsidRDefault="00000000">
      <w:r>
        <w:t>Daniel 3 therefore advances the theology of the book. Chapter 1 demonstrated that Babylon could change names without possessing hearts. Chapter 2 demonstrated that Babylon could possess political power without possessing the mysteries of history. Chapter 3 demonstrates that Babylon can command bodies but cannot rightfully command worship.</w:t>
      </w:r>
    </w:p>
    <w:p w14:paraId="4FD9D093" w14:textId="77777777" w:rsidR="00567DC4" w:rsidRDefault="00000000">
      <w:r>
        <w:t>Nebuchadnezzar’s empire appears unified when everyone bows at the sound of the music. Yet three standing men expose the limits of that unity. The empire can create conformity through threat, but it cannot create genuine worship. When the furnace fails, the ceremony designed to magnify imperial authority becomes testimony to the God whose authority the king cannot overcome.</w:t>
      </w:r>
    </w:p>
    <w:p w14:paraId="72237AFB" w14:textId="77777777" w:rsidR="00567DC4" w:rsidRDefault="00000000">
      <w:pPr>
        <w:pStyle w:val="Heading2"/>
      </w:pPr>
      <w:r>
        <w:lastRenderedPageBreak/>
        <w:t>Questions for Reflection and Discussion</w:t>
      </w:r>
    </w:p>
    <w:p w14:paraId="5631D862" w14:textId="77777777" w:rsidR="00567DC4" w:rsidRDefault="00000000">
      <w:pPr>
        <w:ind w:left="259" w:hanging="259"/>
      </w:pPr>
      <w:r>
        <w:rPr>
          <w:b/>
        </w:rPr>
        <w:t xml:space="preserve">• </w:t>
      </w:r>
      <w:r>
        <w:t>Why is it important not to state as fact that Nebuchadnezzar’s golden image was deliberately designed to contradict the dream of Daniel 2?</w:t>
      </w:r>
    </w:p>
    <w:p w14:paraId="51470257" w14:textId="77777777" w:rsidR="00567DC4" w:rsidRDefault="00000000">
      <w:pPr>
        <w:ind w:left="259" w:hanging="259"/>
      </w:pPr>
      <w:r>
        <w:rPr>
          <w:b/>
        </w:rPr>
        <w:t xml:space="preserve">• </w:t>
      </w:r>
      <w:r>
        <w:t>What does the repeated list of officials and musical instruments contribute to the literary atmosphere of the chapter?</w:t>
      </w:r>
    </w:p>
    <w:p w14:paraId="2C319C2C" w14:textId="77777777" w:rsidR="00567DC4" w:rsidRDefault="00000000">
      <w:pPr>
        <w:ind w:left="259" w:hanging="259"/>
      </w:pPr>
      <w:r>
        <w:rPr>
          <w:b/>
        </w:rPr>
        <w:t xml:space="preserve">• </w:t>
      </w:r>
      <w:r>
        <w:t>How does the historical overlap between political loyalty and religious worship help explain the significance of the ceremony?</w:t>
      </w:r>
    </w:p>
    <w:p w14:paraId="0641124A" w14:textId="77777777" w:rsidR="00567DC4" w:rsidRDefault="00000000">
      <w:pPr>
        <w:ind w:left="259" w:hanging="259"/>
      </w:pPr>
      <w:r>
        <w:rPr>
          <w:b/>
        </w:rPr>
        <w:t xml:space="preserve">• </w:t>
      </w:r>
      <w:r>
        <w:t>What is the difference between faith and presumption in Daniel 3:17–18?</w:t>
      </w:r>
    </w:p>
    <w:p w14:paraId="09674D3E" w14:textId="77777777" w:rsidR="00567DC4" w:rsidRDefault="00000000">
      <w:pPr>
        <w:ind w:left="259" w:hanging="259"/>
      </w:pPr>
      <w:r>
        <w:rPr>
          <w:b/>
        </w:rPr>
        <w:t xml:space="preserve">• </w:t>
      </w:r>
      <w:r>
        <w:t>Why is “even if He does not” essential to the theology of the chapter?</w:t>
      </w:r>
    </w:p>
    <w:p w14:paraId="5B0B0B61" w14:textId="77777777" w:rsidR="00567DC4" w:rsidRDefault="00000000">
      <w:pPr>
        <w:ind w:left="259" w:hanging="259"/>
      </w:pPr>
      <w:r>
        <w:rPr>
          <w:b/>
        </w:rPr>
        <w:t xml:space="preserve">• </w:t>
      </w:r>
      <w:r>
        <w:t>What does Nebuchadnezzar’s question in Daniel 3:15 claim about his own authority, and how does the rest of the chapter answer him?</w:t>
      </w:r>
    </w:p>
    <w:p w14:paraId="51C0697F" w14:textId="77777777" w:rsidR="00567DC4" w:rsidRDefault="00000000">
      <w:pPr>
        <w:ind w:left="259" w:hanging="259"/>
      </w:pPr>
      <w:r>
        <w:rPr>
          <w:b/>
        </w:rPr>
        <w:t xml:space="preserve">• </w:t>
      </w:r>
      <w:r>
        <w:t>What can we responsibly say—and not say—about the fourth figure in the furnace?</w:t>
      </w:r>
    </w:p>
    <w:p w14:paraId="5D9BFE22" w14:textId="77777777" w:rsidR="00567DC4" w:rsidRDefault="00000000">
      <w:pPr>
        <w:ind w:left="259" w:hanging="259"/>
      </w:pPr>
      <w:r>
        <w:rPr>
          <w:b/>
        </w:rPr>
        <w:t xml:space="preserve">• </w:t>
      </w:r>
      <w:r>
        <w:t>How do Daniel 3 and Daniel 6 correspond within the Aramaic structure of Daniel?</w:t>
      </w:r>
    </w:p>
    <w:p w14:paraId="447145C1" w14:textId="77777777" w:rsidR="00567DC4" w:rsidRDefault="00000000">
      <w:pPr>
        <w:ind w:left="259" w:hanging="259"/>
      </w:pPr>
      <w:r>
        <w:rPr>
          <w:b/>
        </w:rPr>
        <w:t xml:space="preserve">• </w:t>
      </w:r>
      <w:r>
        <w:t>How does Revelation 13 develop the pattern of image, compulsory worship, political power, and threatened death found in Daniel 3?</w:t>
      </w:r>
    </w:p>
    <w:p w14:paraId="488DCA10" w14:textId="77777777" w:rsidR="00567DC4" w:rsidRDefault="00000000">
      <w:pPr>
        <w:ind w:left="259" w:hanging="259"/>
      </w:pPr>
      <w:r>
        <w:rPr>
          <w:b/>
        </w:rPr>
        <w:t xml:space="preserve">• </w:t>
      </w:r>
      <w:r>
        <w:t>Where should a believer draw the line between faithful participation in society and idolatrous conformity?</w:t>
      </w:r>
    </w:p>
    <w:p w14:paraId="028DB690" w14:textId="77777777" w:rsidR="00567DC4" w:rsidRDefault="00000000">
      <w:pPr>
        <w:pStyle w:val="Heading1"/>
      </w:pPr>
      <w:r>
        <w:t>Primary Biblical Sources</w:t>
      </w:r>
    </w:p>
    <w:p w14:paraId="11A15143" w14:textId="77777777" w:rsidR="00567DC4" w:rsidRDefault="00000000">
      <w:pPr>
        <w:ind w:left="259" w:hanging="259"/>
      </w:pPr>
      <w:r>
        <w:rPr>
          <w:b/>
        </w:rPr>
        <w:t xml:space="preserve">• Exclusive worship: </w:t>
      </w:r>
      <w:r>
        <w:t>Exodus 20:3–6; 32:1–8; Deuteronomy 5:7–10; 6:13.</w:t>
      </w:r>
    </w:p>
    <w:p w14:paraId="74B72B7D" w14:textId="77777777" w:rsidR="00567DC4" w:rsidRDefault="00000000">
      <w:pPr>
        <w:ind w:left="259" w:hanging="259"/>
      </w:pPr>
      <w:r>
        <w:rPr>
          <w:b/>
        </w:rPr>
        <w:t xml:space="preserve">• Babylonian punishment by burning: </w:t>
      </w:r>
      <w:r>
        <w:t>Jeremiah 29:21–22.</w:t>
      </w:r>
    </w:p>
    <w:p w14:paraId="320C5B70" w14:textId="77777777" w:rsidR="00567DC4" w:rsidRDefault="00000000">
      <w:pPr>
        <w:ind w:left="259" w:hanging="259"/>
      </w:pPr>
      <w:r>
        <w:rPr>
          <w:b/>
        </w:rPr>
        <w:t xml:space="preserve">• Daniel 2 background: </w:t>
      </w:r>
      <w:r>
        <w:t>Daniel 2:37–49.</w:t>
      </w:r>
    </w:p>
    <w:p w14:paraId="1F1CA970" w14:textId="77777777" w:rsidR="00567DC4" w:rsidRDefault="00000000">
      <w:pPr>
        <w:ind w:left="259" w:hanging="259"/>
      </w:pPr>
      <w:r>
        <w:rPr>
          <w:b/>
        </w:rPr>
        <w:t xml:space="preserve">• Daniel 3: </w:t>
      </w:r>
      <w:r>
        <w:t>Primary text for the image, compulsory worship, refusal, furnace, deliverance, and royal confession.</w:t>
      </w:r>
    </w:p>
    <w:p w14:paraId="299CE7AF" w14:textId="77777777" w:rsidR="00567DC4" w:rsidRDefault="00000000">
      <w:pPr>
        <w:ind w:left="259" w:hanging="259"/>
      </w:pPr>
      <w:r>
        <w:rPr>
          <w:b/>
        </w:rPr>
        <w:t xml:space="preserve">• Corresponding Aramaic narrative: </w:t>
      </w:r>
      <w:r>
        <w:t>Daniel 6.</w:t>
      </w:r>
    </w:p>
    <w:p w14:paraId="0370EEAF" w14:textId="77777777" w:rsidR="00567DC4" w:rsidRDefault="00000000">
      <w:pPr>
        <w:ind w:left="259" w:hanging="259"/>
      </w:pPr>
      <w:r>
        <w:rPr>
          <w:b/>
        </w:rPr>
        <w:t xml:space="preserve">• Presence through fire: </w:t>
      </w:r>
      <w:r>
        <w:t>Isaiah 43:1–3.</w:t>
      </w:r>
    </w:p>
    <w:p w14:paraId="1E815557" w14:textId="77777777" w:rsidR="00567DC4" w:rsidRDefault="00000000">
      <w:pPr>
        <w:ind w:left="259" w:hanging="259"/>
      </w:pPr>
      <w:r>
        <w:rPr>
          <w:b/>
        </w:rPr>
        <w:t xml:space="preserve">• Jesus and exclusive worship: </w:t>
      </w:r>
      <w:r>
        <w:t>Matthew 4:8–10.</w:t>
      </w:r>
    </w:p>
    <w:p w14:paraId="62B3B30F" w14:textId="77777777" w:rsidR="00567DC4" w:rsidRDefault="00000000">
      <w:pPr>
        <w:ind w:left="259" w:hanging="259"/>
      </w:pPr>
      <w:r>
        <w:rPr>
          <w:b/>
        </w:rPr>
        <w:t xml:space="preserve">• Canonical development of coercive image worship: </w:t>
      </w:r>
      <w:r>
        <w:t>Revelation 13:11–18; 14:9–12.</w:t>
      </w:r>
    </w:p>
    <w:p w14:paraId="22E93917" w14:textId="77777777" w:rsidR="00567DC4" w:rsidRDefault="00000000">
      <w:pPr>
        <w:pStyle w:val="Heading1"/>
      </w:pPr>
      <w:r>
        <w:t>Selected Extrabiblical and Scholarly Resources</w:t>
      </w:r>
    </w:p>
    <w:p w14:paraId="683FFDBF" w14:textId="77777777" w:rsidR="00567DC4" w:rsidRDefault="00000000">
      <w:pPr>
        <w:ind w:left="259" w:hanging="259"/>
      </w:pPr>
      <w:r>
        <w:rPr>
          <w:b/>
        </w:rPr>
        <w:t xml:space="preserve">• Neo-Babylonian building inscriptions and archaeological remains of Babylon. </w:t>
      </w:r>
      <w:r>
        <w:t>Nebuchadnezzar’s inscriptions and Babylon’s extensive use of fired and glazed brick illuminate the monumental and industrial world in which Daniel 3 places the furnace and public image.</w:t>
      </w:r>
    </w:p>
    <w:p w14:paraId="79F672C8" w14:textId="77777777" w:rsidR="00567DC4" w:rsidRDefault="00000000">
      <w:pPr>
        <w:ind w:left="259" w:hanging="259"/>
      </w:pPr>
      <w:r>
        <w:rPr>
          <w:b/>
        </w:rPr>
        <w:t xml:space="preserve">• Mesopotamian royal-image traditions. </w:t>
      </w:r>
      <w:r>
        <w:t>Assyrian and Babylonian rulers erected monumental royal and divine images as expressions of authority, piety, and imperial presence. Such practices provide cultural context without identifying Daniel’s image more precisely than the text permits.</w:t>
      </w:r>
    </w:p>
    <w:p w14:paraId="7E9E6028" w14:textId="77777777" w:rsidR="00567DC4" w:rsidRDefault="00000000">
      <w:pPr>
        <w:ind w:left="259" w:hanging="259"/>
      </w:pPr>
      <w:r>
        <w:rPr>
          <w:b/>
        </w:rPr>
        <w:t xml:space="preserve">• Benjamin D. Suchard, “The Greek in Daniel 3: Code-Switching, Not Loanwords,” Journal of Biblical Literature 141 (2022): 121–136. </w:t>
      </w:r>
      <w:r>
        <w:t>A recent linguistic reassessment of the Greek-derived musical terminology in Daniel 3, demonstrating that the vocabulary question remains more complex than older apologetic or critical summaries sometimes suggested.</w:t>
      </w:r>
    </w:p>
    <w:p w14:paraId="1CDBE854" w14:textId="77777777" w:rsidR="00567DC4" w:rsidRDefault="00000000">
      <w:pPr>
        <w:ind w:left="259" w:hanging="259"/>
      </w:pPr>
      <w:r>
        <w:rPr>
          <w:b/>
        </w:rPr>
        <w:lastRenderedPageBreak/>
        <w:t xml:space="preserve">• George Heath-Whyte, “The Potential Babylonian Background of Nebuchadnezzar’s Image of Gold in Daniel 3,” Vetus Testamentum (2026). </w:t>
      </w:r>
      <w:r>
        <w:t>A recent study arguing that the unusual proportions of the image can be understood against sixth-century Babylonian monumental religious imagery. Useful as a current proposal, though its reconstruction should remain distinguished from what Daniel explicitly states.</w:t>
      </w:r>
    </w:p>
    <w:p w14:paraId="3B6C937E" w14:textId="77777777" w:rsidR="00567DC4" w:rsidRDefault="00000000">
      <w:pPr>
        <w:ind w:left="259" w:hanging="259"/>
      </w:pPr>
      <w:r>
        <w:rPr>
          <w:b/>
        </w:rPr>
        <w:t xml:space="preserve">• John J. Collins, Daniel: A Commentary on the Book of Daniel (Hermeneia). </w:t>
      </w:r>
      <w:r>
        <w:t>Major critical treatment of Daniel 3, its Aramaic, literary character, historical questions, and Hellenistic dating context.</w:t>
      </w:r>
    </w:p>
    <w:p w14:paraId="4F630C5C" w14:textId="77777777" w:rsidR="00567DC4" w:rsidRDefault="00000000">
      <w:pPr>
        <w:ind w:left="259" w:hanging="259"/>
      </w:pPr>
      <w:r>
        <w:rPr>
          <w:b/>
        </w:rPr>
        <w:t xml:space="preserve">• John E. Goldingay, Daniel (Word Biblical Commentary). </w:t>
      </w:r>
      <w:r>
        <w:t>Detailed linguistic and literary analysis of the Aramaic narrative and its theological themes.</w:t>
      </w:r>
    </w:p>
    <w:p w14:paraId="25DDF91E" w14:textId="77777777" w:rsidR="00567DC4" w:rsidRDefault="00000000">
      <w:pPr>
        <w:ind w:left="259" w:hanging="259"/>
      </w:pPr>
      <w:r>
        <w:rPr>
          <w:b/>
        </w:rPr>
        <w:t xml:space="preserve">• Joyce G. Baldwin, Daniel (Tyndale Old Testament Commentaries). </w:t>
      </w:r>
      <w:r>
        <w:t>Concise conservative treatment with attention to the historical setting, image, musical terminology, and furnace narrative.</w:t>
      </w:r>
    </w:p>
    <w:p w14:paraId="4FAAC99E" w14:textId="77777777" w:rsidR="00567DC4" w:rsidRDefault="00000000">
      <w:pPr>
        <w:ind w:left="259" w:hanging="259"/>
      </w:pPr>
      <w:r>
        <w:rPr>
          <w:b/>
        </w:rPr>
        <w:t xml:space="preserve">• Stephen R. Miller, Daniel (New American Commentary). </w:t>
      </w:r>
      <w:r>
        <w:t>Conservative exposition useful for historical background, literary development, and theological application.</w:t>
      </w:r>
    </w:p>
    <w:p w14:paraId="66058471" w14:textId="77777777" w:rsidR="00567DC4" w:rsidRDefault="00000000">
      <w:pPr>
        <w:pStyle w:val="Heading2"/>
      </w:pPr>
      <w:r>
        <w:t>Historical and Interpretive Method Note</w:t>
      </w:r>
    </w:p>
    <w:p w14:paraId="7CB6DF47" w14:textId="77777777" w:rsidR="00567DC4" w:rsidRDefault="00000000">
      <w:r>
        <w:t>Daniel 3 invites speculation because the text leaves several matters unstated: the date of the event, Daniel’s whereabouts, the identity of the image, Nebuchadnezzar’s motive for erecting it, and the precise identity of the fourth figure in the furnace. None of these gaps should be filled by turning plausible suggestions into facts. Historical background can show that monumental images, gold overlay, imperial ceremonies, multilingual music, brick furnaces, and execution by burning fit the ancient Near Eastern environment. The text itself must determine what we claim with certainty.</w:t>
      </w:r>
    </w:p>
    <w:p w14:paraId="0EA0AD25" w14:textId="77777777" w:rsidR="00567DC4" w:rsidRDefault="00000000">
      <w:pPr>
        <w:pStyle w:val="Heading1"/>
      </w:pPr>
      <w:r>
        <w:t>Closing Perspective</w:t>
      </w:r>
    </w:p>
    <w:p w14:paraId="451F0BC7" w14:textId="77777777" w:rsidR="00567DC4" w:rsidRDefault="00000000">
      <w:r>
        <w:t>Daniel 3 begins with a king setting up an image and commanding an empire to bow. It ends with that same king blessing the God whose servants refused to bow. The transformation of the scene does not occur because the three Judeans overthrow the government, escape their responsibilities, or defeat Nebuchadnezzar politically. It occurs because they know the boundary between service and worship.</w:t>
      </w:r>
    </w:p>
    <w:p w14:paraId="5313B8FE" w14:textId="77777777" w:rsidR="00567DC4" w:rsidRDefault="00000000">
      <w:r>
        <w:t>Their confession remains the heart of the chapter. God is able to deliver. He may deliver. But obedience does not wait for a guarantee. That is mature faith because it places the worthiness of God above the desired outcome of the believer.</w:t>
      </w:r>
    </w:p>
    <w:p w14:paraId="36ACD119" w14:textId="77777777" w:rsidR="00567DC4" w:rsidRDefault="00000000">
      <w:r>
        <w:t>The furnace therefore becomes more than a place of miraculous rescue. It becomes the location where imperial power discovers its limit, faithful worship reveals its cost, and the presence of God becomes visible in the very place where His servants appeared most abandoned. Babylon can build the image, assemble the officials, sound the music, bind the faithful, and ignite the furnace. It still cannot become God.</w:t>
      </w:r>
    </w:p>
    <w:sectPr w:rsidR="00567DC4"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0207B" w14:textId="77777777" w:rsidR="008D7989" w:rsidRDefault="008D7989">
      <w:pPr>
        <w:spacing w:after="0" w:line="240" w:lineRule="auto"/>
      </w:pPr>
      <w:r>
        <w:separator/>
      </w:r>
    </w:p>
  </w:endnote>
  <w:endnote w:type="continuationSeparator" w:id="0">
    <w:p w14:paraId="1207F587" w14:textId="77777777" w:rsidR="008D7989" w:rsidRDefault="008D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953" w14:textId="77777777" w:rsidR="00567DC4" w:rsidRDefault="00000000">
    <w:pPr>
      <w:pStyle w:val="Footer"/>
      <w:jc w:val="center"/>
    </w:pPr>
    <w:r>
      <w:rPr>
        <w:sz w:val="16"/>
      </w:rPr>
      <w:t xml:space="preserve">David V. Lott, Ph.D.   •   </w:t>
    </w:r>
    <w:r>
      <w:fldChar w:fldCharType="begin"/>
    </w:r>
    <w:r>
      <w:instrText>PAGE</w:instrText>
    </w:r>
    <w:r>
      <w:fldChar w:fldCharType="separate"/>
    </w:r>
    <w:r w:rsidR="00DE4B2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7FBE4" w14:textId="77777777" w:rsidR="008D7989" w:rsidRDefault="008D7989">
      <w:pPr>
        <w:spacing w:after="0" w:line="240" w:lineRule="auto"/>
      </w:pPr>
      <w:r>
        <w:separator/>
      </w:r>
    </w:p>
  </w:footnote>
  <w:footnote w:type="continuationSeparator" w:id="0">
    <w:p w14:paraId="08FB7212" w14:textId="77777777" w:rsidR="008D7989" w:rsidRDefault="008D7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5B6D" w14:textId="77777777" w:rsidR="00567DC4" w:rsidRDefault="00000000">
    <w:pPr>
      <w:pStyle w:val="Header"/>
      <w:jc w:val="right"/>
    </w:pPr>
    <w:r>
      <w:rPr>
        <w:b/>
        <w:sz w:val="16"/>
      </w:rPr>
      <w:t>EXPOSITIONAL STUDIES • DANIEL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8072277">
    <w:abstractNumId w:val="8"/>
  </w:num>
  <w:num w:numId="2" w16cid:durableId="2097288553">
    <w:abstractNumId w:val="6"/>
  </w:num>
  <w:num w:numId="3" w16cid:durableId="237983152">
    <w:abstractNumId w:val="5"/>
  </w:num>
  <w:num w:numId="4" w16cid:durableId="2007053607">
    <w:abstractNumId w:val="4"/>
  </w:num>
  <w:num w:numId="5" w16cid:durableId="302851741">
    <w:abstractNumId w:val="7"/>
  </w:num>
  <w:num w:numId="6" w16cid:durableId="774054502">
    <w:abstractNumId w:val="3"/>
  </w:num>
  <w:num w:numId="7" w16cid:durableId="1094663725">
    <w:abstractNumId w:val="2"/>
  </w:num>
  <w:num w:numId="8" w16cid:durableId="647906935">
    <w:abstractNumId w:val="1"/>
  </w:num>
  <w:num w:numId="9" w16cid:durableId="1592736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71A97"/>
    <w:rsid w:val="00567DC4"/>
    <w:rsid w:val="008D7989"/>
    <w:rsid w:val="00AA1D8D"/>
    <w:rsid w:val="00B47730"/>
    <w:rsid w:val="00CB0664"/>
    <w:rsid w:val="00DE4B2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FC5238"/>
  <w14:defaultImageDpi w14:val="300"/>
  <w15:docId w15:val="{B3E521FA-508B-4AFE-8C3F-11A3E904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4290</Words>
  <Characters>24457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2026-10-04T20:40:00Z</dcterms:created>
  <dcterms:modified xsi:type="dcterms:W3CDTF">2026-10-04T20:40:00Z</dcterms:modified>
  <cp:category/>
</cp:coreProperties>
</file>