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EB1E" w14:textId="77777777" w:rsidR="00415881" w:rsidRDefault="00000000">
      <w:pPr>
        <w:pStyle w:val="Title"/>
      </w:pPr>
      <w:r>
        <w:t>The Synergy of the Synoptic Gospels</w:t>
      </w:r>
    </w:p>
    <w:p w14:paraId="7261CB4B" w14:textId="77777777" w:rsidR="00415881" w:rsidRDefault="00000000">
      <w:pPr>
        <w:pStyle w:val="Subtitle"/>
      </w:pPr>
      <w:r>
        <w:t>Three Witnesses, One Christ</w:t>
      </w:r>
    </w:p>
    <w:p w14:paraId="2CC0F4A8" w14:textId="77777777" w:rsidR="00415881" w:rsidRDefault="00000000">
      <w:r>
        <w:t>A Single-Module Expositional, Historical, and Theological Study of Matthew, Mark, and Luke</w:t>
      </w:r>
    </w:p>
    <w:p w14:paraId="0176A6FA" w14:textId="77777777" w:rsidR="00415881" w:rsidRDefault="00000000">
      <w:r>
        <w:t>Primary text: Luke 1:1–4  |  Scripture reference edition: NASB 1977</w:t>
      </w:r>
    </w:p>
    <w:p w14:paraId="3FF08569" w14:textId="77777777" w:rsidR="00415881" w:rsidRDefault="00000000">
      <w:r>
        <w:t>Manuscript draft • Integrated study and comparative appendices • October 2026</w:t>
      </w:r>
    </w:p>
    <w:p w14:paraId="093AD6A7" w14:textId="77777777" w:rsidR="00415881" w:rsidRDefault="00000000">
      <w:r>
        <w:t>Editorial note: Biblical passages are cited by reference and summarized rather than reproduced as unverified NASB 1977 quotations. Greek examples and ancient-source citations require final edition-level collation before publication.</w:t>
      </w:r>
    </w:p>
    <w:p w14:paraId="31498AE1" w14:textId="77777777" w:rsidR="00415881" w:rsidRDefault="00000000">
      <w:pPr>
        <w:pStyle w:val="Heading1"/>
      </w:pPr>
      <w:r>
        <w:t>I. Introduction: Three Gospels That Invite Us to Read Them Together</w:t>
      </w:r>
    </w:p>
    <w:p w14:paraId="6D6194C8" w14:textId="77777777" w:rsidR="00415881" w:rsidRDefault="00000000">
      <w:r>
        <w:t>When a reader opens the New Testament, Matthew, Mark, and Luke present a remarkable literary phenomenon. They recount many of the same events, preserve numerous teachings of Jesus in closely related language, and follow a broadly recognizable progression from the ministry of John the Baptist through Jesus’ public ministry, suffering, death, and resurrection. Yet the accounts are not identical. Matthew preserves extended discourses absent from Mark; Mark frequently supplies vivid narrative detail omitted elsewhere; and Luke includes extensive distinctive material, including the parables of the Good Samaritan and the Prodigal Son.</w:t>
      </w:r>
    </w:p>
    <w:p w14:paraId="53959B97" w14:textId="77777777" w:rsidR="00415881" w:rsidRDefault="00000000">
      <w:r>
        <w:t>The first three Gospels are called synoptic because they may be viewed together. Their relationship involves not only agreement in historical content but sometimes striking similarity in Greek wording and narrative order. These agreements invite questions about the transmission of testimony and the possible use of earlier written accounts. Their differences invite equally serious questions about the authors’ literary purposes and theological emphases.</w:t>
      </w:r>
    </w:p>
    <w:p w14:paraId="2D7ECF17" w14:textId="77777777" w:rsidR="00415881" w:rsidRDefault="00000000">
      <w:r>
        <w:t>The word synergy in this study does not imply that the evangelists worked together in a modern collaborative project. It describes the interpretive benefit of reading their testimonies side by side. Their unity does not require uniformity, and their distinctiveness does not necessarily entail contradiction. We should first hear each evangelist on his own terms and then examine the ways the accounts illuminate one another.</w:t>
      </w:r>
    </w:p>
    <w:p w14:paraId="74DB7A06" w14:textId="77777777" w:rsidR="00415881" w:rsidRDefault="00000000">
      <w:pPr>
        <w:pStyle w:val="Heading1"/>
      </w:pPr>
      <w:r>
        <w:t>II. The Historical World of the Evangelists</w:t>
      </w:r>
    </w:p>
    <w:p w14:paraId="22E51BC3" w14:textId="77777777" w:rsidR="00415881" w:rsidRDefault="00000000">
      <w:r>
        <w:t>Jesus’ earthly ministry took place within first-century Jewish society under Roman rule. Israel’s Scriptures, synagogue instruction, the Jerusalem temple, expectations concerning the Messiah, and the realities of imperial administration all shaped the world in which His teaching was heard. The earliest Christian proclamation began not with four bound Gospel books but with witnesses announcing His death and resurrection. The tradition Paul reports in 1 Corinthians 15:3–8 shows that essential claims about Christ were being received and transmitted before the canonical narratives had reached their completed forms.</w:t>
      </w:r>
    </w:p>
    <w:p w14:paraId="4A66CAC0" w14:textId="77777777" w:rsidR="00415881" w:rsidRDefault="00000000">
      <w:r>
        <w:t xml:space="preserve">Oral transmission was not necessarily uncontrolled rumor. Communities taught and repeated recognized material, while eyewitnesses and other informed participants supplied important testimony. At the same </w:t>
      </w:r>
      <w:r>
        <w:lastRenderedPageBreak/>
        <w:t>time, ancient Jewish and Greco-Roman writers could use remembered instruction, documents, earlier narratives, and purposeful literary arrangement. These practices are relevant to understanding the Gospel texts, although they do not allow us to identify the precise source behind every episode.</w:t>
      </w:r>
    </w:p>
    <w:p w14:paraId="647D0974" w14:textId="77777777" w:rsidR="00415881" w:rsidRDefault="00000000">
      <w:r>
        <w:t>The composition dates remain debated. Many scholars place Mark near AD 70 and Matthew and Luke later in the first century; other scholars defend earlier dates. The interpretation of Jesus’ predictions about Jerusalem plays a part in these debates, and judgments about predictive prophecy can affect historical reasoning. Traditional associations connect Matthew with the apostle, Mark with John Mark and Peter’s preaching, and Luke with Paul’s companion. The Gospel narratives do not name their authors in their opening lines, and these associations rest on early Christian reception and testimony that must be assessed alongside internal evidence.</w:t>
      </w:r>
    </w:p>
    <w:p w14:paraId="2BE0A1F3" w14:textId="77777777" w:rsidR="00415881" w:rsidRDefault="00000000">
      <w:pPr>
        <w:pStyle w:val="Heading1"/>
      </w:pPr>
      <w:r>
        <w:t>III. The Gospels as Ancient Biography: Greco-Roman Bios</w:t>
      </w:r>
    </w:p>
    <w:p w14:paraId="63B1B5F3" w14:textId="77777777" w:rsidR="00415881" w:rsidRDefault="00000000">
      <w:pPr>
        <w:pStyle w:val="Heading2"/>
      </w:pPr>
      <w:r>
        <w:t>Reading ancient literature in its own world</w:t>
      </w:r>
    </w:p>
    <w:p w14:paraId="339E20D7" w14:textId="77777777" w:rsidR="00415881" w:rsidRDefault="00000000">
      <w:r>
        <w:t>Modern historical biography commonly emphasizes a life reconstructed through documentation, explicit source references, and detailed chronology. Ancient biography could be historically serious without following those conventions. The Greek bios, meaning life, became associated with literary accounts that presented the deeds, words, character, and significance of a central individual. This was not a single rigid genre with uniform rules; its practitioners varied widely in method and reliability.</w:t>
      </w:r>
    </w:p>
    <w:p w14:paraId="545EB1B8" w14:textId="77777777" w:rsidR="00415881" w:rsidRDefault="00000000">
      <w:r>
        <w:t>Recognizing the Gospels’ affinities with ancient biography does not reduce them to secular biographies. Their narrative world is deeply informed by Israel’s Scriptures, covenantal expectation, prophetic fulfillment, and the proclamation of Jesus’ resurrection. Genre provides a historically appropriate frame for asking what the authors intended to assert; it is neither a guarantee of accuracy nor a license to explain away every difficulty.</w:t>
      </w:r>
    </w:p>
    <w:p w14:paraId="4FD4C2F9" w14:textId="77777777" w:rsidR="00415881" w:rsidRDefault="00000000">
      <w:pPr>
        <w:pStyle w:val="Heading2"/>
      </w:pPr>
      <w:r>
        <w:t>Plutarch: Biography and the revelation of character</w:t>
      </w:r>
    </w:p>
    <w:p w14:paraId="3048B036" w14:textId="77777777" w:rsidR="00415881" w:rsidRDefault="00000000">
      <w:r>
        <w:t>In the opening of his Life of Alexander (section 1), Plutarch distinguishes the purpose of biography from the exhaustive narration of major public events. He explains that a small action or expression may reveal a person’s character more effectively than a lengthy account of a battle. His comparison with portrait painting demonstrates that selection was an intentional feature of ancient biographical craft, not necessarily a sign of negligence.</w:t>
      </w:r>
    </w:p>
    <w:p w14:paraId="6F9CD4B7" w14:textId="77777777" w:rsidR="00415881" w:rsidRDefault="00000000">
      <w:r>
        <w:t>The evangelists’ purpose differs fundamentally from Plutarch’s moral portraits, but the comparison helps us recognize why an author might choose certain sayings and incidents to reveal the significance of his subject. Matthew’s concentration on Jesus’ teaching, Mark’s narrative emphasis on His authority and suffering, and Luke’s concern with salvation history can be understood as purposeful presentations of the same central figure.</w:t>
      </w:r>
    </w:p>
    <w:p w14:paraId="6E996D29" w14:textId="77777777" w:rsidR="00415881" w:rsidRDefault="00000000">
      <w:pPr>
        <w:pStyle w:val="Heading2"/>
      </w:pPr>
      <w:r>
        <w:t>Suetonius, Xenophon, and the flexibility of arrangement</w:t>
      </w:r>
    </w:p>
    <w:p w14:paraId="0EFDA154" w14:textId="77777777" w:rsidR="00415881" w:rsidRDefault="00000000">
      <w:r>
        <w:t>Suetonius’ Lives of the Caesars illustrates a combination of chronological narrative and topical treatment of a ruler’s public conduct, habits, and character. Xenophon’s writings associated with Socrates and Cyrus provide further examples of ancient authors representing a significant life through selected deeds, conversations, and exemplary episodes, although their individual genres and purposes differ. Such comparisons show that ancient writers did not always organize all material according to a comprehensive modern timeline.</w:t>
      </w:r>
    </w:p>
    <w:p w14:paraId="3322C87E" w14:textId="77777777" w:rsidR="00415881" w:rsidRDefault="00000000">
      <w:r>
        <w:lastRenderedPageBreak/>
        <w:t>This is relevant when Matthew gathers sayings into extended discourses and Luke places related teaching in other narrative contexts. It does not prove that every difference in sequence is merely thematic. A responsible interpreter must ask whether a passage makes an actual chronological assertion and whether a proposed literary explanation fits the evidence.</w:t>
      </w:r>
    </w:p>
    <w:p w14:paraId="58724D5C" w14:textId="77777777" w:rsidR="00415881" w:rsidRDefault="00000000">
      <w:pPr>
        <w:pStyle w:val="Heading2"/>
      </w:pPr>
      <w:r>
        <w:t>Speeches, memory, translation, and quotation</w:t>
      </w:r>
    </w:p>
    <w:p w14:paraId="340E961E" w14:textId="77777777" w:rsidR="00415881" w:rsidRDefault="00000000">
      <w:r>
        <w:t>The representation of speech raises a related issue. In History of the Peloponnesian War 1.22, Thucydides explains the challenge of reproducing exact speeches and his method of presenting what was appropriate to the occasion while preserving their general sense. His statement should not be imposed as a universal rule upon Gospel authors, but it shows that ancient historiography distinguished the substance of a speech from modern verbatim transcription.</w:t>
      </w:r>
    </w:p>
    <w:p w14:paraId="2EA1D29E" w14:textId="77777777" w:rsidR="00415881" w:rsidRDefault="00000000">
      <w:r>
        <w:t>Jesus taught within a multilingual environment in which Aramaic, Hebrew, and Greek all had roles. Translation, repeated instruction on different occasions, and authorial condensation may help explain some variations among Gospel sayings. Each proposal must be tested passage by passage rather than invoked automatically. The historical question is what each evangelist intended to communicate, not whether the account meets later stenographic conventions.</w:t>
      </w:r>
    </w:p>
    <w:p w14:paraId="1119C973" w14:textId="77777777" w:rsidR="00415881" w:rsidRDefault="00000000">
      <w:pPr>
        <w:pStyle w:val="Heading2"/>
      </w:pPr>
      <w:r>
        <w:t>Richard Burridge and the modern discussion of Gospel genre</w:t>
      </w:r>
    </w:p>
    <w:p w14:paraId="2551F049" w14:textId="77777777" w:rsidR="00415881" w:rsidRDefault="00000000">
      <w:r>
        <w:t>Richard A. Burridge’s What Are the Gospels? A Comparison with Graeco-Roman Biography significantly advanced the argument that the canonical Gospels share recognizable characteristics with ancient biographies. His comparative approach considers the concentration on a central subject, the prominence of that subject’s words and deeds, and the narrative shape of the works. The proposal has become influential, although debate continues about the precise interaction of Greco-Roman biography, Jewish narrative traditions, and early Christian proclamation.</w:t>
      </w:r>
    </w:p>
    <w:p w14:paraId="537BDA23" w14:textId="77777777" w:rsidR="00415881" w:rsidRDefault="00000000">
      <w:r>
        <w:t>The genre comparison is therefore useful for the Synoptic Problem: if an evangelist employed an earlier narrative, he could still be an active author who selected, condensed, expanded, and arranged material according to his purposes. Literary dependence need not imply mechanical copying. Nor does the label bios establish the truth of every historical claim. Genre tells us how to read an assertion before asking how well the assertion is supported.</w:t>
      </w:r>
    </w:p>
    <w:p w14:paraId="516C64B4" w14:textId="77777777" w:rsidR="00415881" w:rsidRDefault="00000000">
      <w:pPr>
        <w:pStyle w:val="Heading1"/>
      </w:pPr>
      <w:r>
        <w:t>IV. Luke’s Prologue: Sources, Investigation, and Order</w:t>
      </w:r>
    </w:p>
    <w:p w14:paraId="46602E1F" w14:textId="77777777" w:rsidR="00415881" w:rsidRDefault="00000000">
      <w:r>
        <w:t>Luke 1:1–4 is the clearest explicit description of Gospel preparation within the canonical narratives. Luke acknowledges that others had already undertaken accounts of the events associated with Jesus, that the material was handed down by eyewitnesses and servants of the word, and that he investigated matters carefully in order to write an orderly account for Theophilus. His purpose was that the reader might know the reliability of the instruction received.</w:t>
      </w:r>
    </w:p>
    <w:p w14:paraId="72D64834" w14:textId="77777777" w:rsidR="00415881" w:rsidRDefault="00000000">
      <w:r>
        <w:t>The Greek expression parēkolouthēkoti anōthen pasin akribōs communicates careful familiarity or investigation from the beginning. Kathexēs describes an ordered presentation without necessarily demanding uninterrupted chronological sequence, and asphaleia conveys security, certainty, or reliability. These observations support the conclusion that historical inquiry and purposeful composition were part of Luke’s own stated method.</w:t>
      </w:r>
    </w:p>
    <w:p w14:paraId="219CF724" w14:textId="77777777" w:rsidR="00415881" w:rsidRDefault="00000000">
      <w:r>
        <w:t xml:space="preserve">Luke does not identify the earlier narratives by name. His prologue establishes that previous accounts and eyewitness transmission existed; it does not prove that he used Mark, Matthew, or a reconstructed </w:t>
      </w:r>
      <w:r>
        <w:lastRenderedPageBreak/>
        <w:t>sayings source called Q. Distinguishing explicit textual testimony from scholarly inference is essential throughout this study.</w:t>
      </w:r>
    </w:p>
    <w:p w14:paraId="1DC1EA7C" w14:textId="77777777" w:rsidR="00415881" w:rsidRDefault="00000000">
      <w:pPr>
        <w:pStyle w:val="Heading1"/>
      </w:pPr>
      <w:r>
        <w:t>V. The Synoptic Problem: Agreements and Differences</w:t>
      </w:r>
    </w:p>
    <w:p w14:paraId="334D58AF" w14:textId="77777777" w:rsidR="00415881" w:rsidRDefault="00000000">
      <w:r>
        <w:t>The Synoptic Problem is the historical-literary question of how the three Gospels came to display their characteristic patterns of agreement and difference. The triple tradition consists of material shared by Matthew, Mark, and Luke, such as the baptism of Jesus, the healing of the paralytic, the feeding of the five thousand, and major elements of the passion narrative. The double tradition generally refers to material shared by Matthew and Luke but absent from Mark, including much teaching associated with the Beatitudes and prayer. Unique material appears in one Gospel alone, such as Matthew’s Magi narrative or Luke’s Good Samaritan parable.</w:t>
      </w:r>
    </w:p>
    <w:p w14:paraId="39500FE9" w14:textId="77777777" w:rsidR="00415881" w:rsidRDefault="00000000">
      <w:r>
        <w:t>Agreement in subject matter could arise from common knowledge of Jesus’ ministry. Agreement in extended Greek wording and sequence raises the possibility of written literary dependence. Differences in wording, selection, and order require an explanation that respects each author’s purpose. No single observation establishes the entire history of composition; the strongest hypotheses account for the cumulative pattern.</w:t>
      </w:r>
    </w:p>
    <w:p w14:paraId="4F7F2B6B" w14:textId="77777777" w:rsidR="00415881" w:rsidRDefault="00000000">
      <w:pPr>
        <w:pStyle w:val="Heading1"/>
      </w:pPr>
      <w:r>
        <w:t>VI. Which Gospel Came First? Literary Priority</w:t>
      </w:r>
    </w:p>
    <w:p w14:paraId="5CB1968A" w14:textId="77777777" w:rsidR="00415881" w:rsidRDefault="00000000">
      <w:pPr>
        <w:pStyle w:val="Heading2"/>
      </w:pPr>
      <w:r>
        <w:t>The case for Markan priority</w:t>
      </w:r>
    </w:p>
    <w:p w14:paraId="23E910D7" w14:textId="77777777" w:rsidR="00415881" w:rsidRDefault="00000000">
      <w:r>
        <w:t>The prevailing position in contemporary Synoptic scholarship is that Mark was written before Matthew and Luke. The case is cumulative. Mark is substantially shorter overall, yet in individual parallel narratives it often preserves details that Matthew condenses. Mark’s vigorous Greek style and some more difficult expressions can plausibly account for smoother or clarified forms in the other accounts. Most significantly, where Matthew and Luke share Markan episodes, their order frequently corresponds to Mark; when one departs from that order, the other often retains it.</w:t>
      </w:r>
    </w:p>
    <w:p w14:paraId="3F37C061" w14:textId="77777777" w:rsidR="00415881" w:rsidRDefault="00000000">
      <w:r>
        <w:t>The healing of the paralytic illustrates the pattern. Mark 2:1–12 gives considerable attention to the crowded house and roof; Matthew 9:1–8 concentrates the narrative upon Jesus’ authority to forgive sins; Luke 5:17–26 provides its own expanded setting. This pattern is consistent with Matthew’s abbreviation of a fuller source, but it is not a proof by itself. Likewise, differences in Greek expression may reflect editorial work, shared tradition, or textual transmission and must be evaluated carefully.</w:t>
      </w:r>
    </w:p>
    <w:p w14:paraId="58DC0C86" w14:textId="77777777" w:rsidR="00415881" w:rsidRDefault="00000000">
      <w:r>
        <w:t>The argument from order is especially persuasive because it can explain multiple passages at once, but it remains an inference rather than a surviving statement by an evangelist about the date of composition. Markan priority should be presented as the strongest current explanation of much of the evidence, not as a revealed fact.</w:t>
      </w:r>
    </w:p>
    <w:p w14:paraId="0CD94EDE" w14:textId="77777777" w:rsidR="00415881" w:rsidRDefault="00000000">
      <w:pPr>
        <w:pStyle w:val="Heading2"/>
      </w:pPr>
      <w:r>
        <w:t>Matthean priority and the early church</w:t>
      </w:r>
    </w:p>
    <w:p w14:paraId="07B35A7E" w14:textId="77777777" w:rsidR="00415881" w:rsidRDefault="00000000">
      <w:r>
        <w:t>Early Christian testimony frequently associates Matthew with an early Gospel tradition. Papias, as quoted by Eusebius in Ecclesiastical History 3.39, reports that Matthew compiled logia in the Hebrew dialect or language; the precise sense of logia and the relation of this report to our Greek Matthew remain disputed. Irenaeus, Against Heresies 3.1.1, also preserves early testimony about the evangelists. Such evidence deserves serious attention but does not directly settle the literary order of the surviving Greek texts.</w:t>
      </w:r>
    </w:p>
    <w:p w14:paraId="06A33DF6" w14:textId="77777777" w:rsidR="00415881" w:rsidRDefault="00000000">
      <w:r>
        <w:lastRenderedPageBreak/>
        <w:t>The Augustinian approach broadly places Matthew before Mark and Luke. The Griesbach or Two-Gospel Hypothesis proposes Matthew first, Luke using Matthew, and Mark subsequently using both. This can account for some Matthew–Luke agreements against Mark, but it must explain why Mark, supposedly possessing both longer accounts, omitted extensive teaching and infancy material while sometimes expanding individual narrative episodes. These are questions to investigate rather than dismiss.</w:t>
      </w:r>
    </w:p>
    <w:p w14:paraId="3F8CC3F5" w14:textId="77777777" w:rsidR="00415881" w:rsidRDefault="00000000">
      <w:pPr>
        <w:pStyle w:val="Heading2"/>
      </w:pPr>
      <w:r>
        <w:t>Priority and authority are not identical</w:t>
      </w:r>
    </w:p>
    <w:p w14:paraId="164673AF" w14:textId="77777777" w:rsidR="00415881" w:rsidRDefault="00000000">
      <w:r>
        <w:t>Literary priority must not be confused with theological or historical authority. An earlier written account is not automatically more accurate, and a later author may have access to additional testimony or a more extensive body of traditions. Even if Matthew used Mark, that fact alone would neither prove nor disprove the traditional association with an eyewitness apostle. The question of sequence concerns composition; the question of authority concerns the nature and reliability of the testimony.</w:t>
      </w:r>
    </w:p>
    <w:p w14:paraId="27D0C6B5" w14:textId="77777777" w:rsidR="00415881" w:rsidRDefault="00000000">
      <w:pPr>
        <w:pStyle w:val="Heading1"/>
      </w:pPr>
      <w:r>
        <w:t>VII. What Sources Did the Evangelists Use?</w:t>
      </w:r>
    </w:p>
    <w:p w14:paraId="0F63E832" w14:textId="77777777" w:rsidR="00415881" w:rsidRDefault="00000000">
      <w:pPr>
        <w:pStyle w:val="Heading2"/>
      </w:pPr>
      <w:r>
        <w:t>Eyewitnesses and apostolic preaching</w:t>
      </w:r>
    </w:p>
    <w:p w14:paraId="06CF82DC" w14:textId="77777777" w:rsidR="00415881" w:rsidRDefault="00000000">
      <w:r>
        <w:t>Eyewitness testimony was foundational to early Christian proclamation. Luke explicitly appeals to those who were eyewitnesses from the beginning, and the resurrection testimony in Acts and 1 Corinthians 15 illustrates the importance of historical witness. Papias’ account of Mark’s association with Peter suggests one early Christian explanation of Mark’s connection to apostolic preaching, although the testimony does not amount to a modern compositional diary.</w:t>
      </w:r>
    </w:p>
    <w:p w14:paraId="61DBEA57" w14:textId="77777777" w:rsidR="00415881" w:rsidRDefault="00000000">
      <w:pPr>
        <w:pStyle w:val="Heading2"/>
      </w:pPr>
      <w:r>
        <w:t>Oral traditions and written narratives</w:t>
      </w:r>
    </w:p>
    <w:p w14:paraId="4CBA0331" w14:textId="77777777" w:rsidR="00415881" w:rsidRDefault="00000000">
      <w:r>
        <w:t>Sayings, confessions, miracle accounts, and passion traditions could circulate orally and in writing. Oral instruction can preserve stable wording but can also produce variation through retelling and translation. Written dependence becomes particularly plausible when Greek phrasing and narrative sequence agree closely. The two modes should not be regarded as mutually exclusive: a Gospel author could draw upon both.</w:t>
      </w:r>
    </w:p>
    <w:p w14:paraId="171944BF" w14:textId="77777777" w:rsidR="00415881" w:rsidRDefault="00000000">
      <w:pPr>
        <w:pStyle w:val="Heading2"/>
      </w:pPr>
      <w:r>
        <w:t>Q: a hypothetical source, not a surviving document</w:t>
      </w:r>
    </w:p>
    <w:p w14:paraId="3F6F13FA" w14:textId="77777777" w:rsidR="00415881" w:rsidRDefault="00000000">
      <w:r>
        <w:t>The classical Two-Source Hypothesis proposes that Matthew and Luke independently used Mark and another source, commonly called Q from the German Quelle, or source. Q is invoked principally to explain material shared by Matthew and Luke but absent from Mark. No manuscript of Q has been discovered, and its contents are reconstructed from the surviving Gospels. A hypothetical lost source is a legitimate historical proposal, but it should never be described as independently documented.</w:t>
      </w:r>
    </w:p>
    <w:p w14:paraId="235E2754" w14:textId="77777777" w:rsidR="00415881" w:rsidRDefault="00000000">
      <w:pPr>
        <w:pStyle w:val="Heading2"/>
      </w:pPr>
      <w:r>
        <w:t>The Farrer alternative</w:t>
      </w:r>
    </w:p>
    <w:p w14:paraId="6E177C42" w14:textId="77777777" w:rsidR="00415881" w:rsidRDefault="00000000">
      <w:r>
        <w:t>The Farrer Hypothesis accepts Markan priority while proposing that Luke used Matthew as well as Mark. This removes the need for Q and gives a straightforward explanation for some agreements between Matthew and Luke against Mark. It must, however, explain why Luke rearranged much Matthean teaching and omitted material that might appear useful to him. The debate is not simply Mark versus Matthew; it includes the distinct question of whether Matthew and Luke were literarily independent.</w:t>
      </w:r>
    </w:p>
    <w:p w14:paraId="1606D967" w14:textId="77777777" w:rsidR="00415881" w:rsidRDefault="00000000">
      <w:pPr>
        <w:pStyle w:val="Heading2"/>
      </w:pPr>
      <w:r>
        <w:t>M and L are classifications, not demonstrated books</w:t>
      </w:r>
    </w:p>
    <w:p w14:paraId="1FCF0DC6" w14:textId="77777777" w:rsidR="00415881" w:rsidRDefault="00000000">
      <w:r>
        <w:t xml:space="preserve">Scholars sometimes label material unique to Matthew as M and material unique to Luke as L. These are convenient categories, not proof of two specific lost documents. The material could derive from family recollections, local teaching, oral traditions, written collections, or combinations of these. Luke’s infancy </w:t>
      </w:r>
      <w:r>
        <w:lastRenderedPageBreak/>
        <w:t>narratives, for example, do not identify the particular persons he consulted. Historical caution requires us to avoid turning reasonable possibilities into asserted facts.</w:t>
      </w:r>
    </w:p>
    <w:p w14:paraId="65503819" w14:textId="77777777" w:rsidR="00415881" w:rsidRDefault="00000000">
      <w:pPr>
        <w:pStyle w:val="Heading1"/>
      </w:pPr>
      <w:r>
        <w:t>VIII. The Minor Agreements: Matthew and Luke Against Mark</w:t>
      </w:r>
    </w:p>
    <w:p w14:paraId="518508BF" w14:textId="77777777" w:rsidR="00415881" w:rsidRDefault="00000000">
      <w:r>
        <w:t>The so-called minor agreements occur in triple-tradition passages where Matthew and Luke agree with one another in a detail that differs from Mark. Some involve ordinary grammatical smoothing; others are more substantial. Their importance is that a simple model of Matthew and Luke independently copying Mark does not automatically explain all such agreements.</w:t>
      </w:r>
    </w:p>
    <w:p w14:paraId="77AD7647" w14:textId="77777777" w:rsidR="00415881" w:rsidRDefault="00000000">
      <w:r>
        <w:t>In the mocking of Jesus, Mark 14:65 includes the command to prophesy, while Matthew 26:68 and Luke 22:64 include a demand to identify the person who struck Him. The shared question is a useful test case. It might reflect a shared non-Markan tradition, a direct Matthew–Luke literary relationship, or another feature of textual transmission. The passage does not, by itself, decide the entire Synoptic Problem.</w:t>
      </w:r>
    </w:p>
    <w:p w14:paraId="549F7B67" w14:textId="77777777" w:rsidR="00415881" w:rsidRDefault="00000000">
      <w:r>
        <w:t>A difficulty for the classical Two-Source Hypothesis is not necessarily a difficulty for Markan priority itself. The Farrer model, for example, retains Markan priority and explains direct Matthew–Luke agreements by Luke’s use of Matthew. Careful analysis must keep these separate questions distinct.</w:t>
      </w:r>
    </w:p>
    <w:p w14:paraId="054DF0C5" w14:textId="77777777" w:rsidR="00415881" w:rsidRDefault="00000000">
      <w:pPr>
        <w:pStyle w:val="Heading1"/>
      </w:pPr>
      <w:r>
        <w:t>IX. Theological Distinctiveness Without Competing Christs</w:t>
      </w:r>
    </w:p>
    <w:p w14:paraId="1A1A5A95" w14:textId="77777777" w:rsidR="00415881" w:rsidRDefault="00000000">
      <w:pPr>
        <w:pStyle w:val="Heading2"/>
      </w:pPr>
      <w:r>
        <w:t>Matthew: fulfillment, kingdom, and instruction</w:t>
      </w:r>
    </w:p>
    <w:p w14:paraId="0011D5A2" w14:textId="77777777" w:rsidR="00415881" w:rsidRDefault="00000000">
      <w:r>
        <w:t>Matthew introduces Jesus as son of David and son of Abraham (Matthew 1:1), placing Him within Israel’s covenantal history. Fulfillment quotations, extended teaching discourses, and the commission to make disciples of all nations give the Gospel a pronounced concern for Jesus as the promised Messiah and authoritative teacher. Matthew’s Jewish scriptural emphasis does not exclude the nations; rather, the promises to Israel move toward a worldwide mission.</w:t>
      </w:r>
    </w:p>
    <w:p w14:paraId="473D509D" w14:textId="77777777" w:rsidR="00415881" w:rsidRDefault="00000000">
      <w:pPr>
        <w:pStyle w:val="Heading2"/>
      </w:pPr>
      <w:r>
        <w:t>Mark: the Son of God and the way of suffering</w:t>
      </w:r>
    </w:p>
    <w:p w14:paraId="164A69AF" w14:textId="77777777" w:rsidR="00415881" w:rsidRDefault="00000000">
      <w:r>
        <w:t>Mark emphasizes the authority of Jesus over disease, demons, sin, and creation while repeatedly showing the disciples’ incomplete understanding. Peter’s confession and the passion predictions turn the reader toward the necessity of the Messiah’s suffering. Mark 10:45 locates Jesus’ service and self-giving death at the heart of His mission. Mark is not theologically primitive simply because its narrative is shorter or its style more urgent.</w:t>
      </w:r>
    </w:p>
    <w:p w14:paraId="3FC52D19" w14:textId="77777777" w:rsidR="00415881" w:rsidRDefault="00000000">
      <w:pPr>
        <w:pStyle w:val="Heading2"/>
      </w:pPr>
      <w:r>
        <w:t>Luke: salvation history and the nations</w:t>
      </w:r>
    </w:p>
    <w:p w14:paraId="0A5FFFB6" w14:textId="77777777" w:rsidR="00415881" w:rsidRDefault="00000000">
      <w:r>
        <w:t>Luke frames Jesus’ ministry within Israel’s promises while attending closely to prayer, the Holy Spirit, the poor, and those regarded as outsiders. The travel narrative beginning at Luke 9:51 moves deliberately toward Jerusalem, and Luke 24 anticipates the proclamation of repentance and forgiveness among the nations. Acts continues that outward movement. The distinctive emphases of the evangelists are complementary literary concentrations, not exclusive claims about separate versions of Jesus.</w:t>
      </w:r>
    </w:p>
    <w:p w14:paraId="1FE1A49D" w14:textId="77777777" w:rsidR="00415881" w:rsidRDefault="00000000">
      <w:pPr>
        <w:pStyle w:val="Heading1"/>
      </w:pPr>
      <w:r>
        <w:t>X. Six Parallel Case Studies</w:t>
      </w:r>
    </w:p>
    <w:p w14:paraId="2E74D70E" w14:textId="77777777" w:rsidR="00415881" w:rsidRDefault="00000000">
      <w:pPr>
        <w:pStyle w:val="Heading2"/>
      </w:pPr>
      <w:r>
        <w:t>1. The baptism of Jesus</w:t>
      </w:r>
    </w:p>
    <w:p w14:paraId="536AFA85" w14:textId="77777777" w:rsidR="00415881" w:rsidRDefault="00000000">
      <w:r>
        <w:t>Parallel texts: Matthew 3:13–17; Mark 1:9–11; Luke 3:21–22</w:t>
      </w:r>
    </w:p>
    <w:p w14:paraId="4A199044" w14:textId="77777777" w:rsidR="00415881" w:rsidRDefault="00000000">
      <w:r>
        <w:lastRenderedPageBreak/>
        <w:t>All three connect Jesus’ baptism with the Spirit and a heavenly declaration. Matthew includes John’s hesitation and the theme of fulfilling righteousness; Mark presents the event with narrative concentration; Luke uniquely notes Jesus’ prayer. The shared event is presented through different emphases.</w:t>
      </w:r>
    </w:p>
    <w:p w14:paraId="51C05346" w14:textId="77777777" w:rsidR="00415881" w:rsidRDefault="00000000">
      <w:pPr>
        <w:pStyle w:val="Heading2"/>
      </w:pPr>
      <w:r>
        <w:t>2. The paralytic</w:t>
      </w:r>
    </w:p>
    <w:p w14:paraId="5A4784B6" w14:textId="77777777" w:rsidR="00415881" w:rsidRDefault="00000000">
      <w:r>
        <w:t>Parallel texts: Matthew 9:1–8; Mark 2:1–12; Luke 5:17–26</w:t>
      </w:r>
    </w:p>
    <w:p w14:paraId="04BB239F" w14:textId="77777777" w:rsidR="00415881" w:rsidRDefault="00000000">
      <w:r>
        <w:t>Mark supplies detailed circumstances involving the roof, Luke describes the effort to bring the man before Jesus, and Matthew condenses the scene. All three focus on Jesus’ authority to forgive sins. This is an instructive comparison of selection and condensation.</w:t>
      </w:r>
    </w:p>
    <w:p w14:paraId="1A5234A6" w14:textId="77777777" w:rsidR="00415881" w:rsidRDefault="00000000">
      <w:pPr>
        <w:pStyle w:val="Heading2"/>
      </w:pPr>
      <w:r>
        <w:t>3. The storm</w:t>
      </w:r>
    </w:p>
    <w:p w14:paraId="5EBA8C62" w14:textId="77777777" w:rsidR="00415881" w:rsidRDefault="00000000">
      <w:r>
        <w:t>Parallel texts: Matthew 8:23–27; Mark 4:35–41; Luke 8:22–25</w:t>
      </w:r>
    </w:p>
    <w:p w14:paraId="35A881C4" w14:textId="77777777" w:rsidR="00415881" w:rsidRDefault="00000000">
      <w:r>
        <w:t>Mark includes the cushion in the stern, while the others select different details. Each presents Jesus exercising authority over the storm and the disciples responding in amazement. Ancient biographical selection helps explain different narrative emphases without deciding every question about the original sequence.</w:t>
      </w:r>
    </w:p>
    <w:p w14:paraId="1C8700D7" w14:textId="77777777" w:rsidR="00415881" w:rsidRDefault="00000000">
      <w:pPr>
        <w:pStyle w:val="Heading2"/>
      </w:pPr>
      <w:r>
        <w:t>4. The wealthy inquirer</w:t>
      </w:r>
    </w:p>
    <w:p w14:paraId="0237FA45" w14:textId="77777777" w:rsidR="00415881" w:rsidRDefault="00000000">
      <w:r>
        <w:t>Parallel texts: Matthew 19:16–30; Mark 10:17–31; Luke 18:18–30</w:t>
      </w:r>
    </w:p>
    <w:p w14:paraId="3888EB74" w14:textId="77777777" w:rsidR="00415881" w:rsidRDefault="00000000">
      <w:r>
        <w:t>Mark records Jesus’ loving look, Matthew identifies the man as young, and Luke calls him a ruler. Differences in the dialogue about goodness require attention to Greek textual variants before editorial conclusions are drawn.</w:t>
      </w:r>
    </w:p>
    <w:p w14:paraId="77BD986E" w14:textId="77777777" w:rsidR="00415881" w:rsidRDefault="00000000">
      <w:pPr>
        <w:pStyle w:val="Heading2"/>
      </w:pPr>
      <w:r>
        <w:t>5. The Beatitudes</w:t>
      </w:r>
    </w:p>
    <w:p w14:paraId="3F8DBC41" w14:textId="77777777" w:rsidR="00415881" w:rsidRDefault="00000000">
      <w:r>
        <w:t>Parallel texts: Matthew 5:1–12; Luke 6:20–26</w:t>
      </w:r>
    </w:p>
    <w:p w14:paraId="3B7BF30A" w14:textId="77777777" w:rsidR="00415881" w:rsidRDefault="00000000">
      <w:r>
        <w:t>Matthew’s blessings include the poor in spirit and hunger for righteousness; Luke includes direct blessings on the poor and hungry together with woes. The accounts invite study of repeated teaching, literary arrangement, shared traditions, Q, and the Farrer explanation.</w:t>
      </w:r>
    </w:p>
    <w:p w14:paraId="1D278FEA" w14:textId="77777777" w:rsidR="00415881" w:rsidRDefault="00000000">
      <w:pPr>
        <w:pStyle w:val="Heading2"/>
      </w:pPr>
      <w:r>
        <w:t>6. The resurrection</w:t>
      </w:r>
    </w:p>
    <w:p w14:paraId="11C8D037" w14:textId="77777777" w:rsidR="00415881" w:rsidRDefault="00000000">
      <w:r>
        <w:t>Parallel texts: Matthew 28; Mark 16:1–8; Luke 24</w:t>
      </w:r>
    </w:p>
    <w:p w14:paraId="5FE8770A" w14:textId="77777777" w:rsidR="00415881" w:rsidRDefault="00000000">
      <w:r>
        <w:t>The accounts agree on the central proclamation of resurrection while selecting different encounters, locations, and details. The longer ending of Mark (16:9–20) is a major textual-critical question and must be discussed separately from the narrative ending at 16:8. Neither forced harmonization nor automatic contradiction does justice to the literary evidence.</w:t>
      </w:r>
    </w:p>
    <w:p w14:paraId="742BA926" w14:textId="77777777" w:rsidR="00415881" w:rsidRDefault="00000000">
      <w:pPr>
        <w:pStyle w:val="Heading1"/>
      </w:pPr>
      <w:r>
        <w:t>XI. Inspiration, Historical Reliability, and Literary Dependence</w:t>
      </w:r>
    </w:p>
    <w:p w14:paraId="4A0513EF" w14:textId="77777777" w:rsidR="00415881" w:rsidRDefault="00000000">
      <w:r>
        <w:t>Second Timothy 3:16 describes Scripture as God-breathed but does not prescribe a method of composition that excludes research, memory, literary arrangement, or existing documents. Biblical authors elsewhere refer to historical records and inherited material; Luke explicitly describes his investigation. Within an evangelical understanding of inspiration, divine authorship and historically situated human authorship need not be competing explanations.</w:t>
      </w:r>
    </w:p>
    <w:p w14:paraId="3FDA9EDA" w14:textId="77777777" w:rsidR="00415881" w:rsidRDefault="00000000">
      <w:r>
        <w:lastRenderedPageBreak/>
        <w:t>This conviction should not be used to avoid difficult passages. A responsible harmonization asks what each writer actually asserts, whether speech is summarized, whether an episode is arranged thematically, and whether two accounts could select different features of the same event. But the mere existence of ancient literary conventions does not prove that any particular apparent difficulty has been resolved. Historical inquiry should neither begin by ruling out revelation nor abandon careful evaluation because the texts are canonical.</w:t>
      </w:r>
    </w:p>
    <w:p w14:paraId="410CE1AB" w14:textId="77777777" w:rsidR="00415881" w:rsidRDefault="00000000">
      <w:pPr>
        <w:pStyle w:val="Heading1"/>
      </w:pPr>
      <w:r>
        <w:t>XII. The Synoptics and John</w:t>
      </w:r>
    </w:p>
    <w:p w14:paraId="263A3A1C" w14:textId="77777777" w:rsidR="00415881" w:rsidRDefault="00000000">
      <w:r>
        <w:t>John differs from the Synoptics in the arrangement of Jesus’ ministry, the prominence of extended discourses, the selection of signs, and the geographical emphasis. John 20:30–31 explicitly states the evangelist’s purpose in selecting his material. The comparison reminds us that the early Christian witness to Jesus was not limited to mechanically identical accounts. Each Gospel should first be interpreted according to its own design before the four are brought into a broader synthesis.</w:t>
      </w:r>
    </w:p>
    <w:p w14:paraId="22D4079C" w14:textId="77777777" w:rsidR="00415881" w:rsidRDefault="00000000">
      <w:pPr>
        <w:pStyle w:val="Heading1"/>
      </w:pPr>
      <w:r>
        <w:t>XIII. Conclusion: Three Witnesses, One Christ</w:t>
      </w:r>
    </w:p>
    <w:p w14:paraId="3B34B16E" w14:textId="77777777" w:rsidR="00415881" w:rsidRDefault="00000000">
      <w:r>
        <w:t>The Synoptic Gospels are historically connected witnesses whose shared content, wording, and order invite investigation. Luke’s prologue confirms that earlier accounts and eyewitness testimony belonged to the world of Gospel composition. Ancient biography helps us understand how historically serious writers could select and arrange their material according to particular purposes.</w:t>
      </w:r>
    </w:p>
    <w:p w14:paraId="6F87A6EB" w14:textId="77777777" w:rsidR="00415881" w:rsidRDefault="00000000">
      <w:r>
        <w:t>Markan priority offers a persuasive explanation for much of the literary evidence, but it does not by itself prove the existence of Q. The precise relationship between Matthew and Luke remains contested, and the early testimony associated with Matthean priority deserves careful attention. The historian must distinguish what is explicitly attested from what is reconstructed.</w:t>
      </w:r>
    </w:p>
    <w:p w14:paraId="421B7D08" w14:textId="77777777" w:rsidR="00415881" w:rsidRDefault="00000000">
      <w:r>
        <w:t>The final aim of Synoptic study is not victory for one source theory. It is greater fidelity to the evangelists’ testimony concerning Jesus Christ. Matthew presents the promised Messiah and authoritative teacher, Mark the Son of God whose path leads through suffering, and Luke the Savior whose mission fulfills Israel’s hope and reaches the nations. Their literary voices are distinctive; their central proclamation concerns the same Lord. Respect the words. Understand their world. Establish what the text meant there. Then ask how its truth speaks here.</w:t>
      </w:r>
    </w:p>
    <w:p w14:paraId="339878E5" w14:textId="77777777" w:rsidR="00415881" w:rsidRDefault="00000000">
      <w:pPr>
        <w:pStyle w:val="Heading1"/>
      </w:pPr>
      <w:r>
        <w:t>Appendix A. Source-Relationship Models</w:t>
      </w:r>
    </w:p>
    <w:tbl>
      <w:tblPr>
        <w:tblStyle w:val="LightShading-Accent1"/>
        <w:tblW w:w="0" w:type="auto"/>
        <w:jc w:val="center"/>
        <w:tblLook w:val="04A0" w:firstRow="1" w:lastRow="0" w:firstColumn="1" w:lastColumn="0" w:noHBand="0" w:noVBand="1"/>
      </w:tblPr>
      <w:tblGrid>
        <w:gridCol w:w="3168"/>
        <w:gridCol w:w="3168"/>
        <w:gridCol w:w="3168"/>
      </w:tblGrid>
      <w:tr w:rsidR="00415881" w14:paraId="2CF27E00" w14:textId="77777777" w:rsidTr="004158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68" w:type="dxa"/>
          </w:tcPr>
          <w:p w14:paraId="7B62ACA0" w14:textId="77777777" w:rsidR="00415881" w:rsidRDefault="00000000">
            <w:r>
              <w:t>Model</w:t>
            </w:r>
          </w:p>
        </w:tc>
        <w:tc>
          <w:tcPr>
            <w:tcW w:w="3168" w:type="dxa"/>
          </w:tcPr>
          <w:p w14:paraId="13856240" w14:textId="77777777" w:rsidR="00415881" w:rsidRDefault="00000000">
            <w:pPr>
              <w:cnfStyle w:val="100000000000" w:firstRow="1" w:lastRow="0" w:firstColumn="0" w:lastColumn="0" w:oddVBand="0" w:evenVBand="0" w:oddHBand="0" w:evenHBand="0" w:firstRowFirstColumn="0" w:firstRowLastColumn="0" w:lastRowFirstColumn="0" w:lastRowLastColumn="0"/>
            </w:pPr>
            <w:r>
              <w:t>Proposed literary relationship</w:t>
            </w:r>
          </w:p>
        </w:tc>
        <w:tc>
          <w:tcPr>
            <w:tcW w:w="3168" w:type="dxa"/>
          </w:tcPr>
          <w:p w14:paraId="7F16E8EB" w14:textId="77777777" w:rsidR="00415881" w:rsidRDefault="00000000">
            <w:pPr>
              <w:cnfStyle w:val="100000000000" w:firstRow="1" w:lastRow="0" w:firstColumn="0" w:lastColumn="0" w:oddVBand="0" w:evenVBand="0" w:oddHBand="0" w:evenHBand="0" w:firstRowFirstColumn="0" w:firstRowLastColumn="0" w:lastRowFirstColumn="0" w:lastRowLastColumn="0"/>
            </w:pPr>
            <w:r>
              <w:t>Principal question</w:t>
            </w:r>
          </w:p>
        </w:tc>
      </w:tr>
      <w:tr w:rsidR="00415881" w14:paraId="62EF501B" w14:textId="77777777" w:rsidTr="004158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68" w:type="dxa"/>
          </w:tcPr>
          <w:p w14:paraId="6DD89EF0" w14:textId="77777777" w:rsidR="00415881" w:rsidRDefault="00000000">
            <w:r>
              <w:t>Two-Source</w:t>
            </w:r>
          </w:p>
        </w:tc>
        <w:tc>
          <w:tcPr>
            <w:tcW w:w="3168" w:type="dxa"/>
          </w:tcPr>
          <w:p w14:paraId="2A564E55" w14:textId="77777777" w:rsidR="00415881" w:rsidRDefault="00000000">
            <w:pPr>
              <w:cnfStyle w:val="000000100000" w:firstRow="0" w:lastRow="0" w:firstColumn="0" w:lastColumn="0" w:oddVBand="0" w:evenVBand="0" w:oddHBand="1" w:evenHBand="0" w:firstRowFirstColumn="0" w:firstRowLastColumn="0" w:lastRowFirstColumn="0" w:lastRowLastColumn="0"/>
            </w:pPr>
            <w:r>
              <w:t>Mark → Matthew and Luke; hypothetical Q → Matthew and Luke</w:t>
            </w:r>
          </w:p>
        </w:tc>
        <w:tc>
          <w:tcPr>
            <w:tcW w:w="3168" w:type="dxa"/>
          </w:tcPr>
          <w:p w14:paraId="4C07D125" w14:textId="77777777" w:rsidR="00415881" w:rsidRDefault="00000000">
            <w:pPr>
              <w:cnfStyle w:val="000000100000" w:firstRow="0" w:lastRow="0" w:firstColumn="0" w:lastColumn="0" w:oddVBand="0" w:evenVBand="0" w:oddHBand="1" w:evenHBand="0" w:firstRowFirstColumn="0" w:firstRowLastColumn="0" w:lastRowFirstColumn="0" w:lastRowLastColumn="0"/>
            </w:pPr>
            <w:r>
              <w:t>Does independent use of Mark require a shared sayings source?</w:t>
            </w:r>
          </w:p>
        </w:tc>
      </w:tr>
      <w:tr w:rsidR="00415881" w14:paraId="1C990DC8" w14:textId="77777777" w:rsidTr="00415881">
        <w:trPr>
          <w:jc w:val="center"/>
        </w:trPr>
        <w:tc>
          <w:tcPr>
            <w:cnfStyle w:val="001000000000" w:firstRow="0" w:lastRow="0" w:firstColumn="1" w:lastColumn="0" w:oddVBand="0" w:evenVBand="0" w:oddHBand="0" w:evenHBand="0" w:firstRowFirstColumn="0" w:firstRowLastColumn="0" w:lastRowFirstColumn="0" w:lastRowLastColumn="0"/>
            <w:tcW w:w="3168" w:type="dxa"/>
          </w:tcPr>
          <w:p w14:paraId="11E10995" w14:textId="77777777" w:rsidR="00415881" w:rsidRDefault="00000000">
            <w:r>
              <w:t>Farrer</w:t>
            </w:r>
          </w:p>
        </w:tc>
        <w:tc>
          <w:tcPr>
            <w:tcW w:w="3168" w:type="dxa"/>
          </w:tcPr>
          <w:p w14:paraId="01395094" w14:textId="77777777" w:rsidR="00415881" w:rsidRDefault="00000000">
            <w:pPr>
              <w:cnfStyle w:val="000000000000" w:firstRow="0" w:lastRow="0" w:firstColumn="0" w:lastColumn="0" w:oddVBand="0" w:evenVBand="0" w:oddHBand="0" w:evenHBand="0" w:firstRowFirstColumn="0" w:firstRowLastColumn="0" w:lastRowFirstColumn="0" w:lastRowLastColumn="0"/>
            </w:pPr>
            <w:r>
              <w:t>Mark → Matthew → Luke (Luke also uses Mark)</w:t>
            </w:r>
          </w:p>
        </w:tc>
        <w:tc>
          <w:tcPr>
            <w:tcW w:w="3168" w:type="dxa"/>
          </w:tcPr>
          <w:p w14:paraId="0ED50121" w14:textId="77777777" w:rsidR="00415881" w:rsidRDefault="00000000">
            <w:pPr>
              <w:cnfStyle w:val="000000000000" w:firstRow="0" w:lastRow="0" w:firstColumn="0" w:lastColumn="0" w:oddVBand="0" w:evenVBand="0" w:oddHBand="0" w:evenHBand="0" w:firstRowFirstColumn="0" w:firstRowLastColumn="0" w:lastRowFirstColumn="0" w:lastRowLastColumn="0"/>
            </w:pPr>
            <w:r>
              <w:t>Can Luke’s use of Matthew explain the double tradition without Q?</w:t>
            </w:r>
          </w:p>
        </w:tc>
      </w:tr>
      <w:tr w:rsidR="00415881" w14:paraId="5EBCE2C2" w14:textId="77777777" w:rsidTr="004158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68" w:type="dxa"/>
          </w:tcPr>
          <w:p w14:paraId="36B278E0" w14:textId="77777777" w:rsidR="00415881" w:rsidRDefault="00000000">
            <w:r>
              <w:t>Griesbach / Two-Gospel</w:t>
            </w:r>
          </w:p>
        </w:tc>
        <w:tc>
          <w:tcPr>
            <w:tcW w:w="3168" w:type="dxa"/>
          </w:tcPr>
          <w:p w14:paraId="77D408F1" w14:textId="77777777" w:rsidR="00415881" w:rsidRDefault="00000000">
            <w:pPr>
              <w:cnfStyle w:val="000000100000" w:firstRow="0" w:lastRow="0" w:firstColumn="0" w:lastColumn="0" w:oddVBand="0" w:evenVBand="0" w:oddHBand="1" w:evenHBand="0" w:firstRowFirstColumn="0" w:firstRowLastColumn="0" w:lastRowFirstColumn="0" w:lastRowLastColumn="0"/>
            </w:pPr>
            <w:r>
              <w:t>Matthew → Luke → Mark (Mark uses both)</w:t>
            </w:r>
          </w:p>
        </w:tc>
        <w:tc>
          <w:tcPr>
            <w:tcW w:w="3168" w:type="dxa"/>
          </w:tcPr>
          <w:p w14:paraId="1C680CB9" w14:textId="77777777" w:rsidR="00415881" w:rsidRDefault="00000000">
            <w:pPr>
              <w:cnfStyle w:val="000000100000" w:firstRow="0" w:lastRow="0" w:firstColumn="0" w:lastColumn="0" w:oddVBand="0" w:evenVBand="0" w:oddHBand="1" w:evenHBand="0" w:firstRowFirstColumn="0" w:firstRowLastColumn="0" w:lastRowFirstColumn="0" w:lastRowLastColumn="0"/>
            </w:pPr>
            <w:r>
              <w:t>Why does Mark omit so much while expanding some episodes?</w:t>
            </w:r>
          </w:p>
        </w:tc>
      </w:tr>
      <w:tr w:rsidR="00415881" w14:paraId="453752FB" w14:textId="77777777" w:rsidTr="00415881">
        <w:trPr>
          <w:jc w:val="center"/>
        </w:trPr>
        <w:tc>
          <w:tcPr>
            <w:cnfStyle w:val="001000000000" w:firstRow="0" w:lastRow="0" w:firstColumn="1" w:lastColumn="0" w:oddVBand="0" w:evenVBand="0" w:oddHBand="0" w:evenHBand="0" w:firstRowFirstColumn="0" w:firstRowLastColumn="0" w:lastRowFirstColumn="0" w:lastRowLastColumn="0"/>
            <w:tcW w:w="3168" w:type="dxa"/>
          </w:tcPr>
          <w:p w14:paraId="0F54063E" w14:textId="77777777" w:rsidR="00415881" w:rsidRDefault="00000000">
            <w:r>
              <w:t>Augustinian</w:t>
            </w:r>
          </w:p>
        </w:tc>
        <w:tc>
          <w:tcPr>
            <w:tcW w:w="3168" w:type="dxa"/>
          </w:tcPr>
          <w:p w14:paraId="2580433B" w14:textId="77777777" w:rsidR="00415881" w:rsidRDefault="00000000">
            <w:pPr>
              <w:cnfStyle w:val="000000000000" w:firstRow="0" w:lastRow="0" w:firstColumn="0" w:lastColumn="0" w:oddVBand="0" w:evenVBand="0" w:oddHBand="0" w:evenHBand="0" w:firstRowFirstColumn="0" w:firstRowLastColumn="0" w:lastRowFirstColumn="0" w:lastRowLastColumn="0"/>
            </w:pPr>
            <w:r>
              <w:t xml:space="preserve">Matthew → Mark → Luke (Luke </w:t>
            </w:r>
            <w:r>
              <w:lastRenderedPageBreak/>
              <w:t>may know earlier accounts)</w:t>
            </w:r>
          </w:p>
        </w:tc>
        <w:tc>
          <w:tcPr>
            <w:tcW w:w="3168" w:type="dxa"/>
          </w:tcPr>
          <w:p w14:paraId="449FE595" w14:textId="77777777" w:rsidR="00415881" w:rsidRDefault="00000000">
            <w:pPr>
              <w:cnfStyle w:val="000000000000" w:firstRow="0" w:lastRow="0" w:firstColumn="0" w:lastColumn="0" w:oddVBand="0" w:evenVBand="0" w:oddHBand="0" w:evenHBand="0" w:firstRowFirstColumn="0" w:firstRowLastColumn="0" w:lastRowFirstColumn="0" w:lastRowLastColumn="0"/>
            </w:pPr>
            <w:r>
              <w:lastRenderedPageBreak/>
              <w:t xml:space="preserve">Does traditional sequence best </w:t>
            </w:r>
            <w:r>
              <w:lastRenderedPageBreak/>
              <w:t>explain the Greek literary patterns?</w:t>
            </w:r>
          </w:p>
        </w:tc>
      </w:tr>
    </w:tbl>
    <w:p w14:paraId="76773674" w14:textId="77777777" w:rsidR="00415881" w:rsidRDefault="00415881"/>
    <w:p w14:paraId="56710716" w14:textId="77777777" w:rsidR="00415881" w:rsidRDefault="00000000">
      <w:pPr>
        <w:pStyle w:val="Heading1"/>
      </w:pPr>
      <w:r>
        <w:t>Appendix B. Greek Comparison: The Mocking of Jesus</w:t>
      </w:r>
    </w:p>
    <w:p w14:paraId="4929B613" w14:textId="77777777" w:rsidR="00415881" w:rsidRDefault="00000000">
      <w:r>
        <w:t>The following phrases are illustrative and should be collated against the selected Greek critical edition before final publication. The passage is useful because Matthew and Luke preserve a shared question not present in Mark in the same form.</w:t>
      </w:r>
    </w:p>
    <w:tbl>
      <w:tblPr>
        <w:tblStyle w:val="LightShading-Accent1"/>
        <w:tblW w:w="0" w:type="auto"/>
        <w:jc w:val="center"/>
        <w:tblLook w:val="04A0" w:firstRow="1" w:lastRow="0" w:firstColumn="1" w:lastColumn="0" w:noHBand="0" w:noVBand="1"/>
      </w:tblPr>
      <w:tblGrid>
        <w:gridCol w:w="3168"/>
        <w:gridCol w:w="3168"/>
        <w:gridCol w:w="3168"/>
      </w:tblGrid>
      <w:tr w:rsidR="00415881" w14:paraId="6E9E436B" w14:textId="77777777" w:rsidTr="004158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68" w:type="dxa"/>
          </w:tcPr>
          <w:p w14:paraId="603AE3FF" w14:textId="77777777" w:rsidR="00415881" w:rsidRDefault="00000000">
            <w:r>
              <w:t>Reference</w:t>
            </w:r>
          </w:p>
        </w:tc>
        <w:tc>
          <w:tcPr>
            <w:tcW w:w="3168" w:type="dxa"/>
          </w:tcPr>
          <w:p w14:paraId="4E499975" w14:textId="77777777" w:rsidR="00415881" w:rsidRDefault="00000000">
            <w:pPr>
              <w:cnfStyle w:val="100000000000" w:firstRow="1" w:lastRow="0" w:firstColumn="0" w:lastColumn="0" w:oddVBand="0" w:evenVBand="0" w:oddHBand="0" w:evenHBand="0" w:firstRowFirstColumn="0" w:firstRowLastColumn="0" w:lastRowFirstColumn="0" w:lastRowLastColumn="0"/>
            </w:pPr>
            <w:r>
              <w:t>Selected Greek wording</w:t>
            </w:r>
          </w:p>
        </w:tc>
        <w:tc>
          <w:tcPr>
            <w:tcW w:w="3168" w:type="dxa"/>
          </w:tcPr>
          <w:p w14:paraId="789105F3" w14:textId="77777777" w:rsidR="00415881" w:rsidRDefault="00000000">
            <w:pPr>
              <w:cnfStyle w:val="100000000000" w:firstRow="1" w:lastRow="0" w:firstColumn="0" w:lastColumn="0" w:oddVBand="0" w:evenVBand="0" w:oddHBand="0" w:evenHBand="0" w:firstRowFirstColumn="0" w:firstRowLastColumn="0" w:lastRowFirstColumn="0" w:lastRowLastColumn="0"/>
            </w:pPr>
            <w:r>
              <w:t>Observation</w:t>
            </w:r>
          </w:p>
        </w:tc>
      </w:tr>
      <w:tr w:rsidR="00415881" w14:paraId="7E7D4252" w14:textId="77777777" w:rsidTr="004158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68" w:type="dxa"/>
          </w:tcPr>
          <w:p w14:paraId="488D61B9" w14:textId="77777777" w:rsidR="00415881" w:rsidRDefault="00000000">
            <w:r>
              <w:t>Mark 14:65</w:t>
            </w:r>
          </w:p>
        </w:tc>
        <w:tc>
          <w:tcPr>
            <w:tcW w:w="3168" w:type="dxa"/>
          </w:tcPr>
          <w:p w14:paraId="72EAC7CD" w14:textId="77777777" w:rsidR="00415881" w:rsidRDefault="00000000">
            <w:pPr>
              <w:cnfStyle w:val="000000100000" w:firstRow="0" w:lastRow="0" w:firstColumn="0" w:lastColumn="0" w:oddVBand="0" w:evenVBand="0" w:oddHBand="1" w:evenHBand="0" w:firstRowFirstColumn="0" w:firstRowLastColumn="0" w:lastRowFirstColumn="0" w:lastRowLastColumn="0"/>
            </w:pPr>
            <w:r>
              <w:t>προφήτευσον</w:t>
            </w:r>
          </w:p>
        </w:tc>
        <w:tc>
          <w:tcPr>
            <w:tcW w:w="3168" w:type="dxa"/>
          </w:tcPr>
          <w:p w14:paraId="33FFFC42" w14:textId="77777777" w:rsidR="00415881" w:rsidRDefault="00000000">
            <w:pPr>
              <w:cnfStyle w:val="000000100000" w:firstRow="0" w:lastRow="0" w:firstColumn="0" w:lastColumn="0" w:oddVBand="0" w:evenVBand="0" w:oddHBand="1" w:evenHBand="0" w:firstRowFirstColumn="0" w:firstRowLastColumn="0" w:lastRowFirstColumn="0" w:lastRowLastColumn="0"/>
            </w:pPr>
            <w:r>
              <w:t>Command to prophesy.</w:t>
            </w:r>
          </w:p>
        </w:tc>
      </w:tr>
      <w:tr w:rsidR="00415881" w14:paraId="4DA95C35" w14:textId="77777777" w:rsidTr="00415881">
        <w:trPr>
          <w:jc w:val="center"/>
        </w:trPr>
        <w:tc>
          <w:tcPr>
            <w:cnfStyle w:val="001000000000" w:firstRow="0" w:lastRow="0" w:firstColumn="1" w:lastColumn="0" w:oddVBand="0" w:evenVBand="0" w:oddHBand="0" w:evenHBand="0" w:firstRowFirstColumn="0" w:firstRowLastColumn="0" w:lastRowFirstColumn="0" w:lastRowLastColumn="0"/>
            <w:tcW w:w="3168" w:type="dxa"/>
          </w:tcPr>
          <w:p w14:paraId="26663588" w14:textId="77777777" w:rsidR="00415881" w:rsidRDefault="00000000">
            <w:r>
              <w:t>Matthew 26:68</w:t>
            </w:r>
          </w:p>
        </w:tc>
        <w:tc>
          <w:tcPr>
            <w:tcW w:w="3168" w:type="dxa"/>
          </w:tcPr>
          <w:p w14:paraId="3A20720E" w14:textId="77777777" w:rsidR="00415881" w:rsidRDefault="00000000">
            <w:pPr>
              <w:cnfStyle w:val="000000000000" w:firstRow="0" w:lastRow="0" w:firstColumn="0" w:lastColumn="0" w:oddVBand="0" w:evenVBand="0" w:oddHBand="0" w:evenHBand="0" w:firstRowFirstColumn="0" w:firstRowLastColumn="0" w:lastRowFirstColumn="0" w:lastRowLastColumn="0"/>
            </w:pPr>
            <w:r>
              <w:t>προφήτευσον ἡμῖν, χριστέ, τίς ἐστιν ὁ παίσας σε;</w:t>
            </w:r>
          </w:p>
        </w:tc>
        <w:tc>
          <w:tcPr>
            <w:tcW w:w="3168" w:type="dxa"/>
          </w:tcPr>
          <w:p w14:paraId="09C46027" w14:textId="77777777" w:rsidR="00415881" w:rsidRDefault="00000000">
            <w:pPr>
              <w:cnfStyle w:val="000000000000" w:firstRow="0" w:lastRow="0" w:firstColumn="0" w:lastColumn="0" w:oddVBand="0" w:evenVBand="0" w:oddHBand="0" w:evenHBand="0" w:firstRowFirstColumn="0" w:firstRowLastColumn="0" w:lastRowFirstColumn="0" w:lastRowLastColumn="0"/>
            </w:pPr>
            <w:r>
              <w:t>Adds the question identifying the assailant.</w:t>
            </w:r>
          </w:p>
        </w:tc>
      </w:tr>
      <w:tr w:rsidR="00415881" w14:paraId="1BAA2544" w14:textId="77777777" w:rsidTr="004158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68" w:type="dxa"/>
          </w:tcPr>
          <w:p w14:paraId="75434540" w14:textId="77777777" w:rsidR="00415881" w:rsidRDefault="00000000">
            <w:r>
              <w:t>Luke 22:64</w:t>
            </w:r>
          </w:p>
        </w:tc>
        <w:tc>
          <w:tcPr>
            <w:tcW w:w="3168" w:type="dxa"/>
          </w:tcPr>
          <w:p w14:paraId="30C4ACF3" w14:textId="77777777" w:rsidR="00415881" w:rsidRDefault="00000000">
            <w:pPr>
              <w:cnfStyle w:val="000000100000" w:firstRow="0" w:lastRow="0" w:firstColumn="0" w:lastColumn="0" w:oddVBand="0" w:evenVBand="0" w:oddHBand="1" w:evenHBand="0" w:firstRowFirstColumn="0" w:firstRowLastColumn="0" w:lastRowFirstColumn="0" w:lastRowLastColumn="0"/>
            </w:pPr>
            <w:r>
              <w:t>προφήτευσον, τίς ἐστιν ὁ παίσας σε;</w:t>
            </w:r>
          </w:p>
        </w:tc>
        <w:tc>
          <w:tcPr>
            <w:tcW w:w="3168" w:type="dxa"/>
          </w:tcPr>
          <w:p w14:paraId="042BB422" w14:textId="77777777" w:rsidR="00415881" w:rsidRDefault="00000000">
            <w:pPr>
              <w:cnfStyle w:val="000000100000" w:firstRow="0" w:lastRow="0" w:firstColumn="0" w:lastColumn="0" w:oddVBand="0" w:evenVBand="0" w:oddHBand="1" w:evenHBand="0" w:firstRowFirstColumn="0" w:firstRowLastColumn="0" w:lastRowFirstColumn="0" w:lastRowLastColumn="0"/>
            </w:pPr>
            <w:r>
              <w:t>Shares the identifying question with Matthew.</w:t>
            </w:r>
          </w:p>
        </w:tc>
      </w:tr>
    </w:tbl>
    <w:p w14:paraId="69645BEC" w14:textId="77777777" w:rsidR="00415881" w:rsidRDefault="00415881"/>
    <w:p w14:paraId="4A274BBE" w14:textId="77777777" w:rsidR="00415881" w:rsidRDefault="00000000">
      <w:pPr>
        <w:pStyle w:val="Heading1"/>
      </w:pPr>
      <w:r>
        <w:t>Appendix C. Questions for Study and Discussion</w:t>
      </w:r>
    </w:p>
    <w:p w14:paraId="60919E26" w14:textId="77777777" w:rsidR="00415881" w:rsidRDefault="00000000">
      <w:r>
        <w:t>1. What distinguishes agreement in historical content from agreement in Greek wording and sequence?</w:t>
      </w:r>
    </w:p>
    <w:p w14:paraId="4D6D07BF" w14:textId="77777777" w:rsidR="00415881" w:rsidRDefault="00000000">
      <w:r>
        <w:t>2. What does Luke 1:1–4 actually establish about sources, and what does it leave unidentified?</w:t>
      </w:r>
    </w:p>
    <w:p w14:paraId="6ACF1276" w14:textId="77777777" w:rsidR="00415881" w:rsidRDefault="00000000">
      <w:r>
        <w:t>3. How does the ancient bios illuminate the evangelists’ selection and arrangement of material?</w:t>
      </w:r>
    </w:p>
    <w:p w14:paraId="25041E2C" w14:textId="77777777" w:rsidR="00415881" w:rsidRDefault="00000000">
      <w:r>
        <w:t>4. What are the strongest cumulative arguments for Markan priority?</w:t>
      </w:r>
    </w:p>
    <w:p w14:paraId="2A0647A4" w14:textId="77777777" w:rsidR="00415881" w:rsidRDefault="00000000">
      <w:r>
        <w:t>5. What does early testimony concerning Matthew establish, and what remains uncertain?</w:t>
      </w:r>
    </w:p>
    <w:p w14:paraId="4DF72742" w14:textId="77777777" w:rsidR="00415881" w:rsidRDefault="00000000">
      <w:r>
        <w:t>6. Why must Markan priority be distinguished from the existence of Q?</w:t>
      </w:r>
    </w:p>
    <w:p w14:paraId="1DA9F029" w14:textId="77777777" w:rsidR="00415881" w:rsidRDefault="00000000">
      <w:r>
        <w:t>7. How do the Farrer and Two-Source models explain Matthew–Luke shared teaching?</w:t>
      </w:r>
    </w:p>
    <w:p w14:paraId="1B6F1EED" w14:textId="77777777" w:rsidR="00415881" w:rsidRDefault="00000000">
      <w:r>
        <w:t>8. Why are minor agreements important, and what are their limits as evidence?</w:t>
      </w:r>
    </w:p>
    <w:p w14:paraId="11022F42" w14:textId="77777777" w:rsidR="00415881" w:rsidRDefault="00000000">
      <w:r>
        <w:t>9. How should textual criticism precede arguments about an evangelist’s editorial changes?</w:t>
      </w:r>
    </w:p>
    <w:p w14:paraId="1BDBC38E" w14:textId="77777777" w:rsidR="00415881" w:rsidRDefault="00000000">
      <w:r>
        <w:t>10. How can literary dependence coexist with an evangelical doctrine of inspiration?</w:t>
      </w:r>
    </w:p>
    <w:p w14:paraId="58E9EA7D" w14:textId="77777777" w:rsidR="00415881" w:rsidRDefault="00000000">
      <w:r>
        <w:t>11. What is gained by hearing each Gospel separately before harmonizing them?</w:t>
      </w:r>
    </w:p>
    <w:p w14:paraId="20D59754" w14:textId="77777777" w:rsidR="00415881" w:rsidRDefault="00000000">
      <w:r>
        <w:t>12. How does this study deepen the reader’s understanding of the one Christ proclaimed by all three?</w:t>
      </w:r>
    </w:p>
    <w:p w14:paraId="3D1B23CB" w14:textId="77777777" w:rsidR="00415881" w:rsidRDefault="00000000">
      <w:pPr>
        <w:pStyle w:val="Heading1"/>
      </w:pPr>
      <w:r>
        <w:t>Selected Bibliography and Ancient References</w:t>
      </w:r>
    </w:p>
    <w:p w14:paraId="5538F803" w14:textId="77777777" w:rsidR="00415881" w:rsidRDefault="00000000">
      <w:r>
        <w:t>• The Holy Bible, New American Standard Bible, 1977 edition (references used; no unverified verbatim quotations reproduced).</w:t>
      </w:r>
    </w:p>
    <w:p w14:paraId="058F800F" w14:textId="77777777" w:rsidR="00415881" w:rsidRDefault="00000000">
      <w:r>
        <w:t>• Plutarch. Life of Alexander, §1, in Parallel Lives.</w:t>
      </w:r>
    </w:p>
    <w:p w14:paraId="6D306150" w14:textId="77777777" w:rsidR="00415881" w:rsidRDefault="00000000">
      <w:r>
        <w:lastRenderedPageBreak/>
        <w:t>• Suetonius. Lives of the Caesars.</w:t>
      </w:r>
    </w:p>
    <w:p w14:paraId="74123E29" w14:textId="77777777" w:rsidR="00415881" w:rsidRDefault="00000000">
      <w:r>
        <w:t>• Thucydides. History of the Peloponnesian War 1.22.</w:t>
      </w:r>
    </w:p>
    <w:p w14:paraId="7AE78DB9" w14:textId="77777777" w:rsidR="00415881" w:rsidRDefault="00000000">
      <w:r>
        <w:t>• Eusebius. Ecclesiastical History 3.39 (Papias testimony).</w:t>
      </w:r>
    </w:p>
    <w:p w14:paraId="2034E287" w14:textId="77777777" w:rsidR="00415881" w:rsidRDefault="00000000">
      <w:r>
        <w:t>• Irenaeus. Against Heresies 3.1.1.</w:t>
      </w:r>
    </w:p>
    <w:p w14:paraId="27E3134F" w14:textId="77777777" w:rsidR="00415881" w:rsidRDefault="00000000">
      <w:r>
        <w:t>• Bauckham, Richard. Jesus and the Eyewitnesses: The Gospels as Eyewitness Testimony. 2nd ed. Eerdmans, 2017.</w:t>
      </w:r>
    </w:p>
    <w:p w14:paraId="4D68955D" w14:textId="77777777" w:rsidR="00415881" w:rsidRDefault="00000000">
      <w:r>
        <w:t>• Burridge, Richard A. What Are the Gospels? A Comparison with Graeco-Roman Biography. 2nd ed. Eerdmans, 2004.</w:t>
      </w:r>
    </w:p>
    <w:p w14:paraId="4036FE8E" w14:textId="77777777" w:rsidR="00415881" w:rsidRDefault="00000000">
      <w:r>
        <w:t>• Goodacre, Mark. The Case Against Q: Studies in Markan Priority and the Synoptic Problem. Trinity Press International, 2002.</w:t>
      </w:r>
    </w:p>
    <w:p w14:paraId="18D06B66" w14:textId="77777777" w:rsidR="00415881" w:rsidRDefault="00000000">
      <w:r>
        <w:t>• Goodacre, Mark. The Synoptic Problem: A Way Through the Maze. T&amp;T Clark, 2001.</w:t>
      </w:r>
    </w:p>
    <w:p w14:paraId="0EB4EB6B" w14:textId="77777777" w:rsidR="00415881" w:rsidRDefault="00000000">
      <w:r>
        <w:t>• Porter, Stanley E., and Bryan R. Dyer, eds. The Synoptic Problem: Four Views. Baker Academic, 2016.</w:t>
      </w:r>
    </w:p>
    <w:p w14:paraId="4DB826A9" w14:textId="77777777" w:rsidR="00415881" w:rsidRDefault="00000000">
      <w:r>
        <w:t>• Stein, Robert H. The Synoptic Problem: An Introduction. Baker, 1987.</w:t>
      </w:r>
    </w:p>
    <w:p w14:paraId="2CB0037A" w14:textId="77777777" w:rsidR="00415881" w:rsidRDefault="00000000">
      <w:r>
        <w:t>• Streeter, B. H. The Four Gospels: A Study of Origins. Macmillan, 1924.</w:t>
      </w:r>
    </w:p>
    <w:p w14:paraId="7782303D" w14:textId="77777777" w:rsidR="00415881" w:rsidRDefault="00000000">
      <w:r>
        <w:t>• Aland, Kurt, ed. Synopsis Quattuor Evangeliorum (consult the edition used for Greek collation).</w:t>
      </w:r>
    </w:p>
    <w:sectPr w:rsidR="00415881" w:rsidSect="00034616">
      <w:footerReference w:type="default" r:id="rId8"/>
      <w:pgSz w:w="12240" w:h="15840"/>
      <w:pgMar w:top="1224" w:right="1368" w:bottom="1152" w:left="13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3D888" w14:textId="77777777" w:rsidR="002928F6" w:rsidRDefault="002928F6">
      <w:pPr>
        <w:spacing w:after="0" w:line="240" w:lineRule="auto"/>
      </w:pPr>
      <w:r>
        <w:separator/>
      </w:r>
    </w:p>
  </w:endnote>
  <w:endnote w:type="continuationSeparator" w:id="0">
    <w:p w14:paraId="343AF6AE" w14:textId="77777777" w:rsidR="002928F6" w:rsidRDefault="00292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2DC48" w14:textId="77777777" w:rsidR="00415881" w:rsidRDefault="00000000">
    <w:pPr>
      <w:pStyle w:val="Footer"/>
      <w:jc w:val="center"/>
    </w:pPr>
    <w:r>
      <w:t>The Synergy of the Synoptic Gospels  •  Integrated Study Draft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71791" w14:textId="77777777" w:rsidR="002928F6" w:rsidRDefault="002928F6">
      <w:pPr>
        <w:spacing w:after="0" w:line="240" w:lineRule="auto"/>
      </w:pPr>
      <w:r>
        <w:separator/>
      </w:r>
    </w:p>
  </w:footnote>
  <w:footnote w:type="continuationSeparator" w:id="0">
    <w:p w14:paraId="4366F66D" w14:textId="77777777" w:rsidR="002928F6" w:rsidRDefault="002928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33850186">
    <w:abstractNumId w:val="8"/>
  </w:num>
  <w:num w:numId="2" w16cid:durableId="2004893582">
    <w:abstractNumId w:val="6"/>
  </w:num>
  <w:num w:numId="3" w16cid:durableId="1236352484">
    <w:abstractNumId w:val="5"/>
  </w:num>
  <w:num w:numId="4" w16cid:durableId="471562545">
    <w:abstractNumId w:val="4"/>
  </w:num>
  <w:num w:numId="5" w16cid:durableId="626859921">
    <w:abstractNumId w:val="7"/>
  </w:num>
  <w:num w:numId="6" w16cid:durableId="739331697">
    <w:abstractNumId w:val="3"/>
  </w:num>
  <w:num w:numId="7" w16cid:durableId="1631783959">
    <w:abstractNumId w:val="2"/>
  </w:num>
  <w:num w:numId="8" w16cid:durableId="841121590">
    <w:abstractNumId w:val="1"/>
  </w:num>
  <w:num w:numId="9" w16cid:durableId="9039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5957"/>
    <w:rsid w:val="0015074B"/>
    <w:rsid w:val="002928F6"/>
    <w:rsid w:val="0029639D"/>
    <w:rsid w:val="00326F90"/>
    <w:rsid w:val="00415881"/>
    <w:rsid w:val="00AA1D8D"/>
    <w:rsid w:val="00B47730"/>
    <w:rsid w:val="00BC564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C3DAA0"/>
  <w14:defaultImageDpi w14:val="300"/>
  <w15:docId w15:val="{B8241613-55A1-452E-BA8C-CDD90FA4C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pPr>
    <w:rPr>
      <w:rFonts w:ascii="Cambria" w:hAnsi="Cambr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E3950"/>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E395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E3950"/>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4222</Words>
  <Characters>24072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28238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2026-10-13T18:25:00Z</dcterms:created>
  <dcterms:modified xsi:type="dcterms:W3CDTF">2026-10-13T18:25:00Z</dcterms:modified>
  <cp:category/>
</cp:coreProperties>
</file>