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Book of Ruth</w:t>
      </w:r>
    </w:p>
    <w:p>
      <w:pPr>
        <w:pStyle w:val="Subtitle"/>
      </w:pPr>
      <w:r>
        <w:t>Module 0 — Historical, Literary, and Theological Introduction</w:t>
      </w:r>
    </w:p>
    <w:p>
      <w:pPr>
        <w:jc w:val="center"/>
      </w:pPr>
      <w:r>
        <w:t>Redemption, Covenant Faithfulness, and the Providence of God</w:t>
      </w:r>
    </w:p>
    <w:p>
      <w:pPr>
        <w:pStyle w:val="Heading1"/>
      </w:pPr>
      <w:r>
        <w:t>Introduction: The Quiet Work of Divine Providence</w:t>
      </w:r>
    </w:p>
    <w:p>
      <w:r>
        <w:t>Among the historical narratives of the Old Testament, the book of Ruth occupies a distinctive place. Its setting belongs to the turbulent period of the judges, yet its subject is neither military deliverance nor the political struggles of Israel. Instead, the narrative follows a family whose circumstances are transformed by famine, migration, bereavement, loyalty, and the responsible actions of a relative able to redeem. What begins as the account of two widows returning to Bethlehem ultimately becomes part of the history through which God establishes the royal line of David.</w:t>
      </w:r>
    </w:p>
    <w:p>
      <w:r>
        <w:t>The theological significance of Ruth lies partly in the contrast between the apparent ordinariness of its events and the extraordinary consequences that emerge from them. God does not announce His purposes through a prophet or reveal in advance how Naomi’s circumstances will be resolved. Rather, the story unfolds through decisions made by individuals acting within the uncertainties of their own historical circumstances. Their actions become part of a larger historical development culminating in the genealogy of David and, within the broader testimony of Scripture, the ancestry of Jesus Christ.</w:t>
      </w:r>
    </w:p>
    <w:p>
      <w:pPr>
        <w:pStyle w:val="Heading1"/>
      </w:pPr>
      <w:r>
        <w:t>I. The Historical Setting: Israel During the Period of the Judges</w:t>
      </w:r>
    </w:p>
    <w:p>
      <w:r>
        <w:t>The opening verse locates the narrative during the time when the judges governed Israel, between settlement in Canaan and the establishment of the monarchy. The text does not identify the particular judge under whom these events occurred. Judges describes recurring cycles of covenant unfaithfulness, oppression, appeals for deliverance, and relief through leaders raised up by God.</w:t>
      </w:r>
    </w:p>
    <w:p>
      <w:r>
        <w:t>Ruth presents an important counterpoint to that national picture. Although Israel frequently struggled with idolatry and disobedience, individuals and families continued to acknowledge the Lord and live according to the moral expectations of the covenant. Boaz’s conduct, Ruth’s loyalty, and the public recognition of family responsibilities show that Israel’s covenant institutions retained meaning within local community life. The narrative does not imply that Bethlehem was untouched by Israel’s wider troubles; it shows that national decline does not describe every individual.</w:t>
      </w:r>
    </w:p>
    <w:p>
      <w:r>
        <w:t>Bethlehem, in the territory of Judah, becomes the narrative’s principal setting. The family’s movement from Bethlehem to Moab and back is both geographical and theological: their eventual restoration occurs within the community where ancestral inheritance and family identity are rooted.</w:t>
      </w:r>
    </w:p>
    <w:p>
      <w:pPr>
        <w:pStyle w:val="Heading1"/>
      </w:pPr>
      <w:r>
        <w:t>II. Famine, Migration, and the Vulnerability of the Household</w:t>
      </w:r>
    </w:p>
    <w:p>
      <w:r>
        <w:t>The narrative begins with famine in Judah. Elimelech travels with Naomi and their sons, Mahlon and Chilion, to Moab. The text does not explicitly identify the famine’s cause. Although Deuteronomy 28 recognizes agricultural hardship among possible covenant judgments, it would exceed the narrative’s evidence to declare this particular famine a direct punishment of Elimelech. Likewise, his decision to migrate should not be automatically praised or condemned when the narrator supplies no explicit evaluation.</w:t>
      </w:r>
    </w:p>
    <w:p>
      <w:pPr/>
      <w:r>
        <w:t>A familiar interpretation treats Elimelech's journey as an act of unbelief and the deaths in Moab as its punishment. That reading arises understandably from the covenant warnings concerning famine (Deuteronomy 28) and from the contrast between Israel's land and Moab. Yet neither the narrator nor a divine speaker identifies Elimelech's move as sin or connects the deaths causally to his decision. Genesis also records migrations in response to famine, so relocation itself cannot establish guilt. The disciplined conclusion is not that Elimelech necessarily acted wisely, but that the narrator has not supplied grounds for a verdict. The chapter directs attention instead to the family's vulnerability and the surprising restoration that follows.</w:t>
      </w:r>
    </w:p>
    <w:p>
      <w:r>
        <w:t>Elimelech dies, and the two sons subsequently die after marrying Moabite women. Naomi is left without husband or sons, while Ruth and Orpah are widowed. These deaths bring more than grief. In the social and economic circumstances of ancient Israel, they raise serious questions about provision, continuity of the household, and the preservation of ancestral property. Those vulnerabilities establish why the legal issues of redemption and inheritance matter in the chapters that follow.</w:t>
      </w:r>
    </w:p>
    <w:p>
      <w:pPr>
        <w:pStyle w:val="Heading1"/>
      </w:pPr>
      <w:r>
        <w:t>III. Ruth’s Moabite Identity and Covenant Membership</w:t>
      </w:r>
    </w:p>
    <w:p>
      <w:r>
        <w:t>Ruth’s Moabite identity is repeatedly emphasized. The Moabites traced their ancestry to Lot through Genesis 19, yet Israel’s later relations with Moab involved opposition and religious conflict, including the events described in Numbers 22–25. Deuteronomy 23 also contains restrictions concerning Moabites and admission into the assembly of the Lord.</w:t>
      </w:r>
    </w:p>
    <w:p>
      <w:r>
        <w:t>These texts pose important questions when a Moabite woman becomes part of an Israelite household and appears in David’s ancestry. We must distinguish admission to the assembly from residence, marriage, religious allegiance, and participation in community life. Their precise relationship remains debated, and Ruth does not offer a systematic legal explanation. What the narrative emphasizes is Ruth’s commitment to Naomi, Naomi’s people, and Israel’s God. Her loyalty includes the embrace of a new communal and religious identity.</w:t>
      </w:r>
    </w:p>
    <w:p>
      <w:pPr/>
      <w:r>
        <w:t>The tension with Deuteronomy 23:3–6 should be presented rather than explained away. Some readers understand the exclusion of Moabites from the assembly as a prohibition that would make Ruth's place in Israel impossible; others distinguish participation in the assembly from every form of residence, marriage, or religious allegiance, and debate how the prohibition applied to women. The expression 'assembly of the LORD' is not defined in Ruth, and Ruth does not recount a formal adjudication of her status. We can affirm what the narrative actually portrays—Ruth's allegiance to Israel's God, her favorable reception by Boaz, and her place in David's ancestry—without claiming that the narrative resolves every legal question raised by Deuteronomy.</w:t>
      </w:r>
    </w:p>
    <w:p>
      <w:pPr>
        <w:pStyle w:val="Heading1"/>
      </w:pPr>
      <w:r>
        <w:t>IV. Three Legal Foundations: Redemption, Marriage, and Inheritance</w:t>
      </w:r>
    </w:p>
    <w:p>
      <w:r>
        <w:t>The legal questions of Ruth arise from the intersection of three related but distinct institutions. Family redemption under Leviticus 25 enabled a qualified relative to protect family interests, including recovery of ancestral property. Levirate marriage under Deuteronomy 25 addressed preservation of a deceased brother’s name through offspring. Numbers 27 and 36 addressed inheritance by daughters when a father died without sons and the preservation of tribal allotments.</w:t>
      </w:r>
    </w:p>
    <w:p>
      <w:r>
        <w:t>These laws share concern for family continuity, but they are not interchangeable. Boaz is a relative, not identified as the brother of Ruth’s deceased husband, so his marriage cannot simply be classified as direct compliance with the levirate command. Equally, the law concerning Zelophehad’s daughters does not establish that Naomi or Ruth held identical inheritance rights. It does, however, illuminate the significance of ancestral land, family name, and inheritance within Israel’s covenant order.</w:t>
      </w:r>
    </w:p>
    <w:p>
      <w:pPr/>
      <w:r>
        <w:t>The distinction matters because the family-redemption provisions of Leviticus 25 concern the recovery of family interests in land, whereas Deuteronomy 25:5–10 prescribes a particular marriage obligation for a deceased man's brother under specified conditions. Numbers 27:8–11 sets out an order of inheritance when there is no son, and Numbers 36 addresses marriages involving daughters who inherit land so that tribal allotments do not shift. Neither Numbers passage establishes a general rule that every widow inherits as a daughter would. A common reading combines these statutes into one simple 'kinsman-redeemer marriage law'; Ruth instead requires us to ask which duties were statutory, which were customary, and which Boaz freely accepted.</w:t>
      </w:r>
    </w:p>
    <w:p>
      <w:r>
        <w:t>Ruth 4 brings these concerns together at the gate of Bethlehem. The public transaction includes the priority of a nearer relative, the presence of ten elders, witnesses, a sandal-transfer custom, and declarations concerning property and marriage. The sandal action must be distinguished from the different refusal ceremony described in Deuteronomy 25:7–10. We will also investigate the difficult wording of Ruth 4:5 and the precise legal nature of the land transaction, without pretending that every historical question can be settled with certainty.</w:t>
      </w:r>
    </w:p>
    <w:p>
      <w:pPr>
        <w:pStyle w:val="Heading1"/>
      </w:pPr>
      <w:r>
        <w:t>V. Covenant Faithfulness and Hesed</w:t>
      </w:r>
    </w:p>
    <w:p>
      <w:r>
        <w:t>The Hebrew concept hesed, associated with kindness, steadfast love, and covenant loyalty, illuminates the moral character of Ruth and Boaz. Ruth’s decision to accompany Naomi exceeds what might ordinarily have been expected of a widowed daughter-in-law. Boaz provides protection and generosity before the narrative formally raises the marriage and redemption question.</w:t>
      </w:r>
    </w:p>
    <w:p>
      <w:pPr/>
      <w:r>
        <w:t>The Hebrew noun חֶסֶד (*hesed*) names a form of loyal kindness that cannot be reduced either to sentiment or to the performance of a bare legal minimum. The participle גֹּאֵל (*go'el*) comes from the verb גָּאַל (*ga'al*), 'to redeem' or 'reclaim,' and designates a person acting within a kinship relationship. These words illuminate different dimensions of the story: the redeemer's standing within the family and the loyal generosity with which people may exercise responsibility. Treating them as synonyms would obscure the author's careful portrayal of law and character.</w:t>
      </w:r>
    </w:p>
    <w:p>
      <w:r>
        <w:t>Their conduct shows the relationship between covenant law and covenant character. The Law establishes obligations and protections; faithful individuals may embody its moral purposes through generosity and sacrificial responsibility. Accordingly, we will ask not only what Boaz was required to do, but also what he was permitted and freely willing to undertake.</w:t>
      </w:r>
    </w:p>
    <w:p>
      <w:pPr>
        <w:pStyle w:val="Heading1"/>
      </w:pPr>
      <w:r>
        <w:t>VI. The Literary Movement from Emptiness to Fullness</w:t>
      </w:r>
    </w:p>
    <w:p>
      <w:r>
        <w:t>The book moves deliberately from loss toward restoration. Chapter 1 introduces famine, bereavement, and Naomi’s sense of emptiness. Chapter 2 brings provision through gleaning in Boaz’s fields. Chapter 3 raises the prospect of redemption, and chapter 4 supplies a public legal resolution, marriage, and birth. The narrative contrasts departure and return, death and birth, vulnerability and security.</w:t>
      </w:r>
    </w:p>
    <w:p>
      <w:r>
        <w:t>Naomi’s restoration does not erase the reality of her suffering. Rather, the narrative invites readers to recognize that circumstances experienced as devastating can belong to a providential history whose larger meaning is not yet visible to those living through them.</w:t>
      </w:r>
    </w:p>
    <w:p>
      <w:pPr>
        <w:pStyle w:val="Heading1"/>
      </w:pPr>
      <w:r>
        <w:t>VII. Davidic Genealogy and Messianic Significance</w:t>
      </w:r>
    </w:p>
    <w:p>
      <w:r>
        <w:t>The closing genealogy traces the line through Boaz and Obed to David, expanding the narrative’s significance beyond one household. Bethlehem’s place in the story also anticipates its later association with the Davidic monarchy. Matthew 1 explicitly includes Ruth in the genealogy of Jesus Christ.</w:t>
      </w:r>
    </w:p>
    <w:p>
      <w:r>
        <w:t>Nevertheless, responsible interpretation must distinguish the historical and literary meaning of Ruth from its additional canonical significance. The book is not merely an allegory in which every feature of Boaz’s actions predicts Christ. The relationship to Christ becomes richer, not weaker, when the historical institutions of redemption, family continuity, and divine providence are understood first.</w:t>
      </w:r>
    </w:p>
    <w:p>
      <w:pPr/>
      <w:r>
        <w:t>Christian readers often encounter Boaz described as a complete one-to-one picture of Christ, with every feature of the marriage transaction assigned a spiritual equivalent. That instinct recognizes a genuine canonical relationship: Ruth belongs to the genealogy of David and, through Matthew 1, to the ancestry of Jesus. Yet the book first describes a historical family transaction governed by Israelite social and legal circumstances. A responsible theological reading can recognize an instructive pattern of costly provision and restored hope without turning the nearer redeemer, sandal, grain, or gate into details with meanings the text never gives them.</w:t>
      </w:r>
    </w:p>
    <w:p>
      <w:pPr>
        <w:pStyle w:val="Heading1"/>
      </w:pPr>
      <w:r>
        <w:t>VIII. Theological Purpose and Method of the Study</w:t>
      </w:r>
    </w:p>
    <w:p>
      <w:r>
        <w:t>Our examination will attend closely to the Hebrew narrative, its historical circumstances, and the legal institutions of ancient Israel. We will distinguish what Mosaic legislation explicitly commands, what customary practice may have allowed, and what the principal characters voluntarily undertake. Particular attention will be given to Leviticus 25, Deuteronomy 25, Numbers 27 and 36, Genesis 38, and the public proceedings of Ruth 4 at Bethlehem’s gate.</w:t>
      </w:r>
    </w:p>
    <w:p>
      <w:r>
        <w:t>This approach allows the study to explore the theological themes of providence, redemption, and covenant faithfulness without imposing later conclusions upon the narrative in advance. Its governing question is how God’s covenant provisions and the faithful actions of individuals became the means through which a vulnerable family received a renewed future.</w:t>
      </w:r>
    </w:p>
    <w:p>
      <w:pPr>
        <w:pStyle w:val="Heading1"/>
      </w:pPr>
      <w:r>
        <w:t>Conclusion</w:t>
      </w:r>
    </w:p>
    <w:p>
      <w:r>
        <w:t>Ruth reminds us that the purposes of God are not confined to great political or military events. They also advance through faithful decisions made by individuals whose circumstances appear ordinary and whose futures seem uncertain. A family leaves Bethlehem during famine; death threatens its continuity; Ruth returns with Naomi; and the provisions of Israel’s covenant order become the setting for a new household and a renewed future.</w:t>
      </w:r>
    </w:p>
    <w:p>
      <w:r>
        <w:t>Only at the conclusion does the reader fully recognize the larger significance of these events within David’s ancestry. The study of Ruth therefore requires us to hold together divine providence and human responsibility, covenant obligation and covenant kindness, and the immediate needs of a family and the unfolding purposes of God.</w:t>
      </w:r>
    </w:p>
    <w:p>
      <w:pPr/>
      <w:r>
        <w:rPr>
          <w:sz w:val="16"/>
        </w:rPr>
        <w:t>Scripture quotations taken from the (NASB®) New American Standard Bible®, Copyright © 1960, 1971, 1977 by The Lockman Foundation. Used by permission. All rights reserved. www.Lockman.org</w:t>
      </w:r>
    </w:p>
    <w:sectPr w:rsidR="00FC693F" w:rsidRPr="0006063C" w:rsidSect="00034616">
      <w:footerReference w:type="default" r:id="rId9"/>
      <w:pgSz w:w="12240" w:h="15840"/>
      <w:pgMar w:top="1224" w:right="1800" w:bottom="115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Ruth | Module 0 • Study Manuscript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3"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21374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21374D"/>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