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BOOK OF RUTH</w:t>
      </w:r>
    </w:p>
    <w:p>
      <w:pPr>
        <w:pStyle w:val="Subtitle"/>
      </w:pPr>
      <w:r>
        <w:t>Module 4 — Ruth 4:1–12</w:t>
      </w:r>
    </w:p>
    <w:p>
      <w:r>
        <w:t>Redemption at the City Gate: Inheritance, Family Responsibility, and the Public Recognition of Boaz</w:t>
      </w:r>
    </w:p>
    <w:p>
      <w:pPr>
        <w:pStyle w:val="Heading1"/>
      </w:pPr>
      <w:r>
        <w:t>Introduction: From Private Commitment to Public Obligation</w:t>
      </w:r>
    </w:p>
    <w:p>
      <w:r>
        <w:t>The fourth chapter of Ruth brings the story from the relative privacy of the threshing floor into the public life of Bethlehem. In chapter 3 Boaz acknowledged Ruth’s request and expressed his willingness to act, but he also recognized the prior claim of a nearer relative. His promise could not be fulfilled simply by personal affection or private agreement. The rights of another family member, the interests associated with ancestral land, and the community’s recognition of the transaction all required attention. Ruth 4:1–12 therefore supplies the legal resolution upon which the marriage and the restoration of Naomi’s household depend.</w:t>
      </w:r>
    </w:p>
    <w:p>
      <w:r>
        <w:t>The narrative is remarkably economical. It does not reproduce a legal code, identify every property interest, or explain the history of each custom. Instead, it depicts a recognized public procedure through which competing claims are clarified, a nearer relative declines to exercise his opportunity, and Boaz assumes the responsibilities associated with the property and Ruth. Sound interpretation must distinguish the narrative’s explicit statements from plausible reconstructions of ancient Israelite practice. This distinction is especially important because the passage intersects with, but is not identical to, the laws of land redemption, levirate marriage, and inheritance.</w:t>
      </w:r>
    </w:p>
    <w:p>
      <w:pPr>
        <w:pStyle w:val="Heading1"/>
      </w:pPr>
      <w:r>
        <w:t>I. The City Gate as a Place of Public Judgment and Business (4:1–2)</w:t>
      </w:r>
    </w:p>
    <w:p>
      <w:r>
        <w:t>Boaz goes to the gate of Bethlehem and sits there. In the towns of ancient Israel, the gate area could function as a place of civic assembly, adjudication, witness, and commercial negotiation. The city gate was not merely an opening in a defensive wall; it was a recognized public setting where matters affecting families and the community could be heard. By choosing this location, Boaz moves the question of redemption from a private assurance to an accountable, witnessed proceeding.</w:t>
      </w:r>
    </w:p>
    <w:p>
      <w:r>
        <w:t>The nearer relative passes by, and Boaz invites him to sit. The narrative does not supply his personal name. Boaz then gathers ten elders of the city and asks them to sit as well. The number ten is explicit, but the text does not explain why that particular number was chosen, and we should not simply project later rabbinic requirements backward into the period of the judges. The elders’ presence nevertheless makes the transaction publicly recognizable and provides authoritative witnesses from within the local community.</w:t>
      </w:r>
    </w:p>
    <w:p>
      <w:r>
        <w:t>The city in question is Bethlehem, not Jerusalem. That geographical precision matters because the proceeding concerns the interests of a particular family and its local inheritance. Later biblical legal practices at city gates provide useful analogies, but they do not establish that every procedure in Ruth followed a single uniform code.</w:t>
      </w:r>
    </w:p>
    <w:p>
      <w:pPr/>
      <w:r>
        <w:t>Readers sometimes imagine the city gate as little more than an architectural entrance and the elders as passive spectators. The biblical setting gives reason to understand more. Gates provided accessible public space where recognized members of a community could hear disputes and attest transactions; comparable scenes occur in passages such as Deuteronomy 21:18–21 and Proverbs 31:23. Ruth does not describe a modern court with a judge issuing a written decree. Its emphasis is public knowledge and credible testimony. The ten elders therefore should not be treated as proof of a universal Mosaic rule requiring precisely ten officials for every redemption. Their number is narrated, but no statute in the cited redemption laws specifies it.</w:t>
      </w:r>
    </w:p>
    <w:p>
      <w:pPr>
        <w:pStyle w:val="Heading1"/>
      </w:pPr>
      <w:r>
        <w:t>II. The Nearer Redeemer and the Priority of Kinship (4:3–4)</w:t>
      </w:r>
    </w:p>
    <w:p>
      <w:r>
        <w:t>Boaz begins with the land associated with Elimelech, Naomi’s deceased husband. He explains that Naomi, who has returned from Moab, is disposing of or offering the field portion belonging to their relative. The Hebrew description of the transaction has generated discussion because the text does not fully disclose Naomi’s legal title, the history of the holding, or the precise economic arrangement contemplated. What is clear is that a family property interest has become available for redemption and that Boaz treats the nearer relative as possessing the first opportunity to act.</w:t>
      </w:r>
    </w:p>
    <w:p>
      <w:r>
        <w:t>Leviticus 25:23–28 provides the most important legal background. Israelite land was not to be permanently alienated from its ancestral holding; a qualified relative could redeem property that poverty had compelled a family member to transfer. The redeemer’s role protected the family’s continuing connection to the land. Yet Ruth does not describe every stage of a conventional Leviticus 25 transaction. The passage must therefore be interpreted in conversation with that law rather than reduced to a mechanical illustration of it.</w:t>
      </w:r>
    </w:p>
    <w:p>
      <w:r>
        <w:t>Boaz states that the nearer relative has priority and that Boaz himself stands next in line. The nearer man initially expresses willingness to redeem the property. At this point the reader sees that Boaz is not using his own desire to marry Ruth as an excuse to disregard another man’s recognized claim. His integrity is demonstrated partly by his willingness to permit the nearer relative to exercise his right first, even though doing so might prevent Boaz from becoming the redeemer.</w:t>
      </w:r>
    </w:p>
    <w:p>
      <w:pPr/>
      <w:r>
        <w:t>A common retelling assumes that the unnamed relative had an unconditional right to purchase a desirable parcel and simply changed his mind when marriage became inconvenient. That reading moves too quickly. The land belongs to the history of Elimelech’s household, and the chapter does not supply a modern deed, a purchase price, or a full description of Naomi’s legal interest. Even the verbal description of Naomi’s action in verse 3 has been understood in different ways. We should therefore describe the proposed transaction as a family-property redemption arrangement, not assert that Naomi held unrestricted fee-simple title or that the parcel was being sold in the modern sense.</w:t>
      </w:r>
    </w:p>
    <w:p>
      <w:pPr>
        <w:pStyle w:val="Heading1"/>
      </w:pPr>
      <w:r>
        <w:t>III. Ruth, the Deceased Man’s Name, and the Difficult Wording of Verse 5</w:t>
      </w:r>
    </w:p>
    <w:p>
      <w:r>
        <w:t>Boaz then introduces Ruth the Moabite, the widow of the deceased Mahlon, into the transaction. The stated purpose is to perpetuate the deceased man’s name in relation to his inheritance. This development changes the nearer relative’s understanding of the obligation and ultimately leads him to decline. Verse 5, however, is among the most difficult sentences in the book. The Hebrew wording and its textual witnesses have prompted debate about the exact connection between acquiring the field and acquiring Ruth, and about whether the statement should be understood in terms of what the redeemer must do or what Boaz will do.</w:t>
      </w:r>
    </w:p>
    <w:p>
      <w:pPr/>
      <w:r>
        <w:t>The Hebrew of Ruth 4:5 presents two distinct interpretive problems. The written form (ketiv) of the acquisition verb is first person, whereas the traditional reading (qere) is second person. Separately, the expression commonly understood as “and from Ruth” has led some scholars to reconstruct an earlier wording meaning “also Ruth,” a proposal supported in part by comparison with the Vulgate and the language of verses 9–10. This reconstruction must be identified as an emendation rather than an established Hebrew manuscript reading. Other interpreters defend the received wording by different grammatical analyses. The secure narrative conclusion is that Boaz publicly acquires the family property and takes Ruth as his wife; the exact syntax of verse 5 and the legal mechanism linking the two remain debated.</w:t>
      </w:r>
    </w:p>
    <w:p>
      <w:r>
        <w:t>We should not conceal this difficulty by presenting one English rendering as though it settles every legal question. The Masoretic text, ancient versions, and the interpretive decisions made by modern translators deserve close collation in our final audit. Even with these uncertainties, the larger narrative clearly associates the land transaction with the prospect of Ruth’s marriage and with the preservation of the deceased man’s name. Verse 10 confirms that Boaz publicly takes Ruth as his wife for this stated purpose.</w:t>
      </w:r>
    </w:p>
    <w:p>
      <w:r>
        <w:t>The phrase concerning the deceased man’s name creates an obvious point of contact with Deuteronomy 25:5–10, where a surviving brother is required, under the conditions specified by that law, to marry his brother’s widow so that the deceased brother’s name will not disappear. Yet Boaz is not identified as Mahlon’s brother, and the nearer redeemer is not identified as such either. Ruth 4 is consequently not a straightforward instance of the statutory levirate marriage described in Deuteronomy 25. The narrative appears to bring a similar family-preservation objective into a wider kinship-redemption setting. Whether that represents established custom, an extension of the principle, or a more particular local arrangement must be evaluated cautiously.</w:t>
      </w:r>
    </w:p>
    <w:p>
      <w:pPr/>
      <w:r>
        <w:t>The difficulty in verse 5 is not merely a curiosity for specialists. Differences in how the Hebrew forms and associated textual witnesses are understood affect whether the nearer relative is described as acquiring Ruth along with the field, or whether Boaz frames the matter as an obligation that accompanies the redemption. The wording of verse 10 clearly states Boaz’s own declared purpose in taking Ruth as wife: the preservation of the deceased man’s name in connection with his inheritance. It does not, however, resolve every disputed detail of verse 5. Our conclusion should therefore be modest: Boaz presents the land and Ruth’s marital future as interconnected concerns in this particular proceeding; the text does not furnish a general statute requiring every land redeemer to marry a widow.</w:t>
      </w:r>
    </w:p>
    <w:p>
      <w:pPr>
        <w:pStyle w:val="Heading1"/>
      </w:pPr>
      <w:r>
        <w:t>IV. Why the Nearer Redeemer Declines (4:6)</w:t>
      </w:r>
    </w:p>
    <w:p>
      <w:r>
        <w:t>Upon learning of the additional responsibility, the nearer relative states that he cannot redeem without endangering his own inheritance. The text does not specify precisely what financial or succession calculation led him to this decision. One plausible explanation is that the purchase would require expenditure from his own estate while the resulting family succession could ultimately benefit the deceased man’s line rather than his existing heirs. Another possibility is that the marriage obligation created uncertainties or costs he was unwilling to assume. These remain interpretations, not details expressly supplied by the narrator.</w:t>
      </w:r>
    </w:p>
    <w:p>
      <w:r>
        <w:t>The contrast with Boaz is nevertheless significant. The nearer relative is not explicitly condemned as a violator of the levirate law, and the narrative does not portray a judicial penalty imposed upon him. He relinquishes the opportunity, while Boaz willingly accepts the arrangement. This contrast allows the author to demonstrate Boaz’s covenant loyalty without requiring the reader to invent a legal transgression for the unnamed man.</w:t>
      </w:r>
    </w:p>
    <w:p>
      <w:pPr/>
      <w:r>
        <w:t>Some readers portray the nearer relative as selfish or spiritually inferior because he refuses. The narrative certainly invites a comparison between his unwillingness and Boaz’s willingness, but it does not disclose the man’s assets, existing heirs, household commitments, or the precise calculation behind his concern for his inheritance. An additional family obligation could affect how land and resources would ultimately pass to descendants, yet the specific mechanism is not spelled out. We may admire Boaz’s action without pretending to know all the other man’s motives or accusing him of violating a law that the narrator never expressly applies to him.</w:t>
      </w:r>
    </w:p>
    <w:p>
      <w:pPr>
        <w:pStyle w:val="Heading1"/>
      </w:pPr>
      <w:r>
        <w:t>V. The Sandal Ceremony: A Recognized Symbol of Transfer (4:7–8)</w:t>
      </w:r>
    </w:p>
    <w:p>
      <w:r>
        <w:t>The narrator pauses to explain an older custom concerning redemption and exchange in Israel. One party removed a sandal and gave it to the other as confirmation of the transaction. In Ruth, the nearer redeemer removes his sandal, thereby publicly signifying the relinquishment of his opportunity and the confirmation of Boaz’s right to proceed. The narrator’s explanation suggests that the practice needed clarification for at least some of the book’s intended audience.</w:t>
      </w:r>
    </w:p>
    <w:p>
      <w:r>
        <w:t>The symbolism has often been associated with land, possession, or the ability to tread upon property, but the text itself identifies the act principally as a customary means of confirming an exchange. We should distinguish that stated function from more speculative explanations of how the symbol originally developed.</w:t>
      </w:r>
    </w:p>
    <w:p>
      <w:r>
        <w:t>The sandal ceremony must also be distinguished from Deuteronomy 25:7–10. In that passage, when a brother refuses the prescribed levirate duty, the widow removes his sandal, spits in his presence, and publicly identifies the disgrace attached to his refusal. Ruth contains no spitting, no public shaming formula, and no widow removing the man’s sandal. Here the nearer relative removes his own sandal in a transaction involving redemption and exchange. The shared sandal imagery does not make the two ceremonies identical. This difference will receive a full comparative treatment in Module 6.</w:t>
      </w:r>
    </w:p>
    <w:p>
      <w:pPr/>
      <w:r>
        <w:t>The resemblance between the two sandal passages has led to the assumption that the nearer redeemer is being publicly shamed for refusing levirate marriage. But Deuteronomy 25 describes the widow removing the refusing brother’s sandal and spitting in his presence; Ruth 4 describes the redeemer himself removing a sandal to confirm an exchange, with no spitting, no widow conducting the rite, and no declaration of disgrace. The differences are not incidental details to smooth over. They are the textual reason to resist identifying the two ceremonies as the same procedure. Both involve footwear and family obligations, but the narrator of Ruth explicitly presents this act as a customary confirmation of redemption and exchange.</w:t>
      </w:r>
    </w:p>
    <w:p>
      <w:pPr>
        <w:pStyle w:val="Heading1"/>
      </w:pPr>
      <w:r>
        <w:t>VI. Boaz’s Declaration Before Elders and People (4:9–10)</w:t>
      </w:r>
    </w:p>
    <w:p>
      <w:r>
        <w:t>After the nearer relative relinquishes his opportunity, Boaz addresses the elders and the assembled people as witnesses. He announces his acquisition of the property associated with Elimelech, Chilion, and Mahlon from Naomi’s hand, and he declares his intention to take Ruth, Mahlon’s widow, as his wife. The purpose of the marriage is expressed in terms of preserving the deceased man’s name upon his inheritance and preventing that name from being cut off from his family and locality.</w:t>
      </w:r>
    </w:p>
    <w:p>
      <w:r>
        <w:t>The declaration is important because it brings several family interests into one public act. The property is identified with Elimelech’s household, including his deceased sons, while Ruth is specifically identified as Mahlon’s widow. Naomi’s relationship to the property is acknowledged, but the narrative does not spell out an entire scheme of widow inheritance. Numbers 27:1–11 establishes inheritance provisions for daughters when a man dies without sons, and Numbers 36 addresses the preservation of tribal allotments through marriage. These texts illuminate the importance of family continuity and inherited land, but neither should be treated as proof that Naomi or Ruth occupied precisely the same legal position as Zelophehad’s daughters.</w:t>
      </w:r>
    </w:p>
    <w:p>
      <w:r>
        <w:t>Boaz’s repeated appeal to witnesses makes the transaction more than a private bargain. The community can attest that the nearer claimant had been approached, that he declined, and that Boaz publicly assumed the arrangement. The scene therefore safeguards legitimacy, reduces the likelihood of later disputes, and situates the marriage within the recognized social order of Bethlehem. We should not, however, equate the proceedings with a modern deed registry or claim that the narrative describes every element necessary for a legally effective conveyance.</w:t>
      </w:r>
    </w:p>
    <w:p>
      <w:pPr>
        <w:pStyle w:val="Heading1"/>
      </w:pPr>
      <w:r>
        <w:t>VII. The Community’s Blessing: Rachel, Leah, and the House of Perez (4:11–12)</w:t>
      </w:r>
    </w:p>
    <w:p>
      <w:r>
        <w:t>The elders and people acknowledge their witness and pronounce a blessing upon Ruth and Boaz. Their reference to Rachel and Leah recalls the women through whom the household of Jacob was built and situates Ruth’s prospective family within the history of Israel. The blessing also anticipates fruitfulness, standing within Bethlehem, and a household established through offspring.</w:t>
      </w:r>
    </w:p>
    <w:p>
      <w:r>
        <w:t>The further reference to Perez, born to Judah through Tamar, is especially important. Genesis 38 recounts a complicated episode in which the preservation of a deceased man’s family line becomes a matter of kinship responsibility, frustrated obligation, and eventual offspring. By invoking Perez, the witnesses connect the present marriage to the ancestry of Judah and to an earlier family narrative concerned with continuation of lineage. This is a deliberate literary and genealogical connection, not an incidental decorative reference.</w:t>
      </w:r>
    </w:p>
    <w:p>
      <w:r>
        <w:t>Genesis 38 also predates the legislation of Deuteronomy 25 and provides a valuable comparative account for examining how responsibilities toward widows and family succession developed in biblical tradition. We must avoid assuming that every detail of Judah and Tamar’s circumstances maps directly onto Ruth and Boaz. The parallels are meaningful precisely when their differences are retained.</w:t>
      </w:r>
    </w:p>
    <w:p>
      <w:pPr/>
      <w:r>
        <w:t>The invocation of Tamar can also be misunderstood. Some treatments make the blessing an endorsement of every action narrated in Genesis 38; others treat it as an embarrassing detail to omit. Neither follows the text closely. The Bethlehem witnesses invoke the house of Perez as an example of a fruitful Judahite lineage emerging through a complex family-continuity episode. Genesis 38 provides a historical and literary comparison, not a declaration that Tamar’s circumstances and Ruth’s were legally identical. In the same way, the reference to Rachel and Leah situates Ruth’s future household within Israel’s remembered family history without erasing her Moabite origin.</w:t>
      </w:r>
    </w:p>
    <w:p>
      <w:pPr>
        <w:pStyle w:val="Heading1"/>
      </w:pPr>
      <w:r>
        <w:t>VIII. Law, Voluntary Responsibility, and Covenant Faithfulness</w:t>
      </w:r>
    </w:p>
    <w:p>
      <w:r>
        <w:t>The public proceeding reveals an important relationship between law and character. Boaz recognizes the priority of another relative, follows a customary means of confirmation, secures the presence of elders and witnesses, and publicly articulates the purposes of his actions. He does not bypass communal responsibility in pursuit of a private relationship. His conduct expresses integrity through respect for the legal and social framework in which he lives.</w:t>
      </w:r>
    </w:p>
    <w:p>
      <w:r>
        <w:t>At the same time, the narrative does not establish that Boaz was legally compelled by Deuteronomy 25 to marry Ruth. His willingness to proceed after the nearer relative declines suggests an exercise of family responsibility that is not adequately explained by the levirate statute alone. The distinction matters theologically. Covenant faithfulness includes obedience to divine commands, but it may also involve voluntary generosity directed toward the protective purposes those commands embody.</w:t>
      </w:r>
    </w:p>
    <w:p>
      <w:r>
        <w:t>This is where the concept of hesed, covenant loyalty or steadfast kindness, becomes especially illuminating. Boaz’s conduct is not detached from law, nor is it exhausted by a minimal calculation of legal duty. He acts in a way that protects vulnerable members of the family, respects the community’s procedures, and seeks continuity for a household threatened by death and displacement.</w:t>
      </w:r>
    </w:p>
    <w:p>
      <w:pPr/>
      <w:r>
        <w:t>Another common assumption is that Boaz is simply fulfilling 'the law of levirate marriage.' Deuteronomy 25 addresses a surviving brother under specified circumstances, whereas Boaz is described as a relative of Elimelech’s family, not as Mahlon’s brother. The shared concern for perpetuating the deceased man’s name explains why the passages belong in conversation, but shared purpose does not prove identical legal obligation. The more defensible conclusion is that Ruth narrates a locally recognized arrangement joining property redemption to marriage and family continuity; precisely how custom and statute interacted remains a matter for careful investigation in Module 6.</w:t>
      </w:r>
    </w:p>
    <w:p>
      <w:pPr>
        <w:pStyle w:val="Heading1"/>
      </w:pPr>
      <w:r>
        <w:t>IX. The Relationship to Redemption in the Wider Biblical Canon</w:t>
      </w:r>
    </w:p>
    <w:p>
      <w:r>
        <w:t>The figure of Boaz invites later Christian reflection upon redemption, but that reflection should begin with the historical character of the institution. In Ruth 4, redemption concerns ancestral property, kinship priority, the preservation of a deceased man’s name, and the restoration of a family’s future. These are concrete legal and social realities, not merely symbols awaiting a Christian interpretation.</w:t>
      </w:r>
    </w:p>
    <w:p>
      <w:r>
        <w:t>Within the broader canon, redemption becomes a major category for understanding God’s saving work, including the deliverance of Israel and the saving work of Jesus Christ. Boaz can therefore contribute to a canonical theology of redemption by illustrating the willingness of a qualified person to act for the benefit of vulnerable relatives. Yet it would be inaccurate to equate every detail of the Bethlehem transaction with a corresponding element of Christ’s work. Responsible typological reflection respects the original narrative before drawing theological connections.</w:t>
      </w:r>
    </w:p>
    <w:p>
      <w:pPr/>
      <w:r>
        <w:t>Christian readers also sometimes move immediately from the word 'redeemer' to the claim that every detail of Boaz’s transaction predicts Christ. Such an approach risks bypassing the widow’s real vulnerability, the ancestral property question, and the public legal process that the narrator has chosen to describe. The canonical connection is richer when it is disciplined: God’s redemptive purposes unfold through genuine historical institutions and responsible human action, and the genealogy will later locate this family within the ancestry of David. Typological reflection should build upon those textual realities, not replace them with an allegory.</w:t>
      </w:r>
    </w:p>
    <w:p>
      <w:pPr>
        <w:pStyle w:val="Heading1"/>
      </w:pPr>
      <w:r>
        <w:t>Conclusion: Redemption Established Before the Community</w:t>
      </w:r>
    </w:p>
    <w:p>
      <w:r>
        <w:t>Ruth 4:1–12 resolves the central legal uncertainty introduced at the threshing floor. Boaz secures the presence of the nearer redeemer, brings the matter before local elders, clarifies the property and marriage interests, accepts the other man’s relinquishment, and publicly declares his own intention. The community acknowledges the transaction and blesses the household that is about to be formed. Through this carefully narrated sequence, the story moves from private vulnerability toward recognized family restoration.</w:t>
      </w:r>
    </w:p>
    <w:p>
      <w:r>
        <w:t>The passage also establishes the questions that must govern our later legal synthesis. How closely does the property arrangement follow Leviticus 25? In what sense does the marriage preserve a deceased man’s name without meeting the narrow conditions of Deuteronomy 25? How do the inheritance provisions of Numbers 27 and 36 illuminate, but not determine, the legal situation? And what can the gate proceeding tell us about ancient Israelite witnesses, customary transfer, and the authority of local elders? These questions deserve integrated treatment rather than an oversimplified claim that three laws were simply combined into one.</w:t>
      </w:r>
    </w:p>
    <w:p>
      <w:r>
        <w:t>The next portion of the narrative, Ruth 4:13–22, will reveal the family and genealogical outcome of the transaction. What has now been recognized publicly at Bethlehem will become part of the lineage of David, giving the story a significance that extends far beyond the immediate household.</w:t>
      </w:r>
    </w:p>
    <w:p>
      <w:pPr/>
      <w:r>
        <w:rPr>
          <w:sz w:val="16"/>
        </w:rPr>
        <w:t>Scripture quotations taken from the (NASB®) New American Standard Bible®, Copyright © 1960, 1971, 1977 by The Lockman Foundation. Used by permission. All rights reserved. www.Lockman.org</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Ruth • Module 4 | Teaching Manuscript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mbria" w:hAnsi="Cambria"/>
      <w:b/>
      <w:bCs/>
      <w:color w:val="1E374B"/>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40"/>
      <w:contextualSpacing/>
    </w:pPr>
    <w:rPr>
      <w:rFonts w:asciiTheme="majorHAnsi" w:eastAsiaTheme="majorEastAsia" w:hAnsiTheme="majorHAnsi" w:cstheme="majorBidi" w:ascii="Cambria" w:hAnsi="Cambria"/>
      <w:b/>
      <w:color w:val="1E374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