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BOOK OF RUTH</w:t>
      </w:r>
    </w:p>
    <w:p>
      <w:pPr>
        <w:pStyle w:val="Title"/>
      </w:pPr>
      <w:r>
        <w:t>Module 5 — Ruth 4:13–22</w:t>
      </w:r>
    </w:p>
    <w:p>
      <w:pPr>
        <w:pStyle w:val="Subtitle"/>
      </w:pPr>
      <w:r>
        <w:t>From Emptiness to Restoration: Obed, Naomi, and the Genealogy of David</w:t>
      </w:r>
    </w:p>
    <w:p>
      <w:pPr>
        <w:pStyle w:val="Heading1"/>
      </w:pPr>
      <w:r>
        <w:t>Introduction: The Outcome of Redemption</w:t>
      </w:r>
    </w:p>
    <w:p>
      <w:r>
        <w:t>The final movement of Ruth shifts the narrative from the legal proceedings at Bethlehem’s gate to the household formed by Boaz and Ruth. The public transaction has established the legitimacy of Boaz’s action, but the story does not conclude with the acquisition of property or the recognition of a marriage. It concludes with a child, a restored family future, and a genealogy that carries the reader beyond Bethlehem into the history of Israel’s monarchy. The movement is deliberate: the institutions of redemption and inheritance are important because they serve the welfare and continuity of persons and families within the covenant community.</w:t>
      </w:r>
    </w:p>
    <w:p>
      <w:r>
        <w:t>Ruth 4:13–22 should therefore be read both as the resolution of the immediate narrative and as the disclosure of its wider historical significance. The first perspective belongs to Naomi and Ruth, whose circumstances have changed from bereavement and economic insecurity to renewed provision and kinship. The second belongs to the reader, who discovers that this household stands in the ancestry of David. Neither perspective should be allowed to eclipse the other. The genealogy does not make the women’s suffering insignificant, and the intimate family story does not exhaust the meaning of the final verses.</w:t>
      </w:r>
    </w:p>
    <w:p>
      <w:pPr>
        <w:pStyle w:val="Heading1"/>
      </w:pPr>
      <w:r>
        <w:t>I. Marriage, Conception, and the Lord’s Agency — Ruth 4:13</w:t>
      </w:r>
    </w:p>
    <w:p>
      <w:r>
        <w:t>The narrator reports that Boaz took Ruth as his wife and that the Lord enabled her to conceive. This is one of the book’s clearest explicit statements of divine agency. Earlier chapters present God’s providence largely through human choices and seemingly ordinary circumstances; here the narrator directly attributes the conception to the Lord. The statement does not suggest that faithful people can always expect marriage or children as a reward. It identifies this particular birth as a decisive element in the restoration of the family and in the narrative’s developing account of divine purpose.</w:t>
      </w:r>
    </w:p>
    <w:p>
      <w:r>
        <w:t>The report also invites the reader to remember the preceding years of loss. Ruth had been married to Mahlon during the family’s residence in Moab, yet the narrative has not reported a child from that union. We cannot establish from the text whether infertility, the length of the marriage, or other circumstances explain that absence. What matters for the story is that the earlier household ended without an heir and that a child now enters the renewed household in Bethlehem.</w:t>
      </w:r>
    </w:p>
    <w:p>
      <w:pPr/>
      <w:r>
        <w:t>A familiar explanation treats Ruth’s earlier childlessness as proof that she was infertile until God miraculously reversed her condition. That reading is understandable because verse 13 expressly attributes conception to the Lord and because the narrative has already described the loss of her first husband. Yet the earlier chapters never diagnose infertility, tell us how long Ruth and Mahlon lived together as husband and wife, or explain why they had no child. The narrator's explicit attribution of conception to the Lord warrants a strong affirmation of divine agency; it does not warrant a medical conclusion that the text has not supplied. This distinction allows us to appreciate the theological emphasis of verse 13 without confusing the gift of a child with evidence of a previously identified disorder.</w:t>
      </w:r>
    </w:p>
    <w:p>
      <w:r>
        <w:t>The distinction between the legal action of Boaz and the divine gift of life is especially important. The public proceeding in Ruth 4:1–12 secured a lawful resolution of the competing claims of relatives, but it could not guarantee the birth of a son. The narrator therefore presents human responsibility and divine provision as complementary rather than competing explanations of the outcome.</w:t>
      </w:r>
    </w:p>
    <w:p>
      <w:pPr>
        <w:pStyle w:val="Heading1"/>
      </w:pPr>
      <w:r>
        <w:t>II. The Women’s Blessing and Naomi’s Restoration — Ruth 4:14–15</w:t>
      </w:r>
    </w:p>
    <w:p>
      <w:r>
        <w:t>The women of Bethlehem respond to the birth by blessing the Lord and addressing Naomi. Their words return attention to the woman whose grief shaped the first chapter. Although Ruth is the mother of the child, Naomi’s restoration is central to the community’s response because her household had seemed to face extinction. The women celebrate the emergence of a new family future and express the hope that the child will become a source of renewed life and support in Naomi’s old age.</w:t>
      </w:r>
    </w:p>
    <w:p>
      <w:pPr/>
      <w:r>
        <w:t>Some expositions identify the redeemer praised by Bethlehem's women exclusively with Boaz, because he has just completed the transaction at the gate. Others identify the newborn Obed as the intended referent because the blessing immediately anticipates his role in Naomi's future. The immediate sequence favors taking the child's birth seriously in the women's declaration, but the narrative also deliberately connects his arrival to the redemption accomplished through Boaz. Rather than force every use of redemption language into a single technical category, we should attend to the change in speakers and circumstances: the legal transaction has already been completed, and the women now celebrate the restoration of Naomi's household. The blessing is not a new legal judgment concerning the identity of the formal go'el.</w:t>
      </w:r>
    </w:p>
    <w:p>
      <w:r>
        <w:t>The language of redemption in their blessing requires careful attention. The immediate context points to the newly born child as the one through whom Naomi’s future is renewed, although Boaz has performed the formal act of family redemption earlier in the chapter. The term therefore operates within a narrative that includes both a legally qualified redeemer and the child who embodies the restored household’s continuity. We should not flatten these different roles into a single legal category.</w:t>
      </w:r>
    </w:p>
    <w:p>
      <w:r>
        <w:t>The women also honor Ruth, emphasizing the extraordinary value of her loyalty to Naomi. Their assessment reverses the social assumptions that might have attached to Ruth’s identity as a foreign widow. The narrative has already demonstrated her character through decisions and actions; the community now openly acknowledges that her devotion has become a means of blessing to Naomi. The reference to seven sons is a conventional expression of extraordinary familial worth, not a literal numerical comparison to be pressed into a legal formula.</w:t>
      </w:r>
    </w:p>
    <w:p>
      <w:pPr>
        <w:pStyle w:val="Heading1"/>
      </w:pPr>
      <w:r>
        <w:t>III. Naomi, the Child, and the Language of Family Continuity — Ruth 4:16–17</w:t>
      </w:r>
    </w:p>
    <w:p>
      <w:pPr/>
      <w:r>
        <w:t>The women's announcement that a son has been born to Naomi is sometimes understood as proof that Naomi legally adopted Obed or that he became, by operation of law, the son of her deceased husband. Such interpretations seek to account for the unusual way the community describes the birth, and they rightly recognize the central concern for Naomi's future. Nevertheless, Ruth is explicitly identified as the child's mother and Boaz as her husband, while the narrative records neither an adoption procedure nor a declaration changing Obed's biological parentage. The language is better read first as a communal celebration of Naomi's restored family life and prospects. Whether additional customary inheritance arrangements accompanied that restoration is a separate question that the narrator does not settle.</w:t>
      </w:r>
    </w:p>
    <w:p>
      <w:r>
        <w:t>Naomi takes the child into her care, and the narrative describes her intimate role in his upbringing. This action communicates restored belonging and intergenerational continuity. It should not, however, be treated as evidence of a formal adoption unless independent evidence establishes that such a legal act is intended. The passage does not state that Ruth relinquished her maternal status, nor does it describe a separate judicial transaction transferring the child to Naomi.</w:t>
      </w:r>
    </w:p>
    <w:p>
      <w:r>
        <w:t>The neighboring women associate the child with Naomi and announce his birth as an event of particular significance for her. Their language reflects the social reality that the child restores hope to the family line with which Naomi is identified. The narrative does not require us to suppose that Naomi is the biological mother, and the community’s idiom should not be made to bear more technical legal weight than the text provides.</w:t>
      </w:r>
    </w:p>
    <w:p>
      <w:r>
        <w:t>The child is named Obed, and the narrator identifies him as the father of Jesse and grandfather of David. At this moment the story turns decisively from local family restoration to the larger history of Israel. The name Obed is commonly associated with the Hebrew root for service, but the passage does not offer an explicit explanation of the name; any theological interpretation of its meaning should therefore remain appropriately modest.</w:t>
      </w:r>
    </w:p>
    <w:p>
      <w:pPr>
        <w:pStyle w:val="Heading1"/>
      </w:pPr>
      <w:r>
        <w:t>IV. The Genealogy from Perez to David — Ruth 4:18–22</w:t>
      </w:r>
    </w:p>
    <w:p>
      <w:pPr/>
      <w:r>
        <w:t>Another common assumption is that the ten generations from Perez to David provide a complete, year-by-year chronological chain from the patriarchal period to the monarchy. Biblical genealogies, however, can function selectively, highlighting a legitimate line of descent without necessarily recording every intervening generation. The number and arrangement of names may therefore serve a literary and theological purpose as well as a genealogical one. We should not declare omissions to be certain where none are identified, but neither should we use the list alone to calculate an exact date for the events of Ruth. Its unambiguous claim is the placement of Boaz, Ruth, and Obed within the ancestry of David.</w:t>
      </w:r>
    </w:p>
    <w:p>
      <w:r>
        <w:t>The concluding genealogy traces a line from Perez through Hezron, Ram, Amminadab, Nahshon, Salmon, Boaz, Obed, Jesse, and David. Its placement at the end of the book changes the reader’s perspective on everything that precedes it. The family threatened by death and discontinuity has become part of the ancestral history of Israel’s king. The genealogy thus serves as a literary and theological conclusion rather than an unrelated appendix.</w:t>
      </w:r>
    </w:p>
    <w:p>
      <w:r>
        <w:t>The reference to Perez also recalls the blessing spoken at Bethlehem’s gate in Ruth 4:12 and the earlier account of Judah and Tamar in Genesis 38. Both narratives involve a threatened family line and the complex obligations surrounding its continuation, although their historical circumstances and legal arrangements are not identical. This connection is particularly valuable for our later synthesis of kinship redemption and levirate-like practices. The author invites comparison without requiring us to equate the two episodes.</w:t>
      </w:r>
    </w:p>
    <w:p>
      <w:pPr/>
      <w:r>
        <w:t>A related interpretation assumes that Obed must have inherited Mahlon's estate as his legal son because Boaz had pledged to preserve the deceased man's name upon his inheritance. That inference reflects a real concern of Ruth 4:5 and 4:10, but it is not the same as an explicit description of the child's legal status. The book concludes by naming Obed as the son born to Boaz and Ruth and as an ancestor of David; it does not provide an estate register or spell out the distribution of ancestral land. We must therefore distinguish the purpose publicly announced at the gate from a reconstructed inheritance mechanism. This is precisely why the inheritance rules in Numbers 27 and 36 illuminate the narrative without supplying an automatic solution to every unresolved detail.</w:t>
      </w:r>
    </w:p>
    <w:p>
      <w:r>
        <w:t>Genealogies in ancient literature may be selective, and the precise chronological implications of the ten names should be considered with caution. The list identifies the lineage relevant to the author’s purpose; it is not necessarily intended as a complete register of every intervening generation. The identity of Salmon and the relationship between the genealogical traditions in Ruth, Chronicles, and Matthew will receive further attention in our concluding theological module.</w:t>
      </w:r>
    </w:p>
    <w:p>
      <w:pPr>
        <w:pStyle w:val="Heading1"/>
      </w:pPr>
      <w:r>
        <w:t>V. The Inheritance Question After the Birth of Obed</w:t>
      </w:r>
    </w:p>
    <w:p>
      <w:r>
        <w:t>The birth of Obed brings the narrative’s concerns about family continuity into focus, but it does not answer every technical question raised by the earlier property transaction. Boaz publicly declared his purpose of preserving the name of the deceased in relation to the inheritance, while the final genealogy places Obed within the ancestry of Boaz and David. The story does not provide a complete legal register explaining the subsequent title to each parcel of land or precisely how every family relationship would have been recorded.</w:t>
      </w:r>
    </w:p>
    <w:p>
      <w:pPr/>
      <w:r>
        <w:t>The public declaration at Bethlehem establishes Boaz’s acquisition of the property associated with the deceased household and his marriage to Ruth with the expressed purpose of preserving the deceased man’s name. It does not record the later registration of Obed’s inheritance, designate him as Mahlon’s legal son, or describe Naomi’s care of the child as a formal adoption. These proposals arise from understandable attempts to explain the social and legal consequences of the marriage, but they should be presented as reconstructions rather than as information the narrator expressly supplies.</w:t>
      </w:r>
    </w:p>
    <w:p>
      <w:pPr/>
      <w:r>
        <w:t>Readers sometimes present Ruth's appearance in David's ancestry as proof that Israel's covenant boundaries had no continuing significance, while others suppose that her Moabite origin should have made her marriage impossible. Both approaches flatten the biblical evidence. Deuteronomy 23 raises a genuine question about Moabite participation in Israel's assembly, but the relationship of that restriction to individual marriage, religious allegiance, and the status of descendants requires careful argument rather than assumption. Ruth's loyalty to the Lord and the community's reception of her are facts of this narrative; the text does not provide a formal legal opinion resolving every interpretive question arising from Deuteronomy. Her inclusion is theologically significant precisely because her identity is not erased or treated as irrelevant.</w:t>
      </w:r>
    </w:p>
    <w:p>
      <w:pPr/>
      <w:r>
        <w:t>The frequent description of Boaz as a direct 'type of Christ' can be fruitful when it means that his costly, protective action participates in a biblical pattern of redemption later brought to fuller expression in Christ. It becomes misleading, however, when each feature of the Bethlehem transaction is made to correspond to an element of salvation, as though the unnamed relative, the sandal, the field, and the elders were coded predictions. Ruth itself presents a concrete family crisis resolved through recognizable legal and social practices. The canonical connection to Christ should therefore be developed through the themes Scripture actually shares—redemption, kinship, gracious provision, and the Davidic lineage—while respecting the differences between Boaz's limited historical act and Christ's saving work.</w:t>
      </w:r>
    </w:p>
    <w:p>
      <w:r>
        <w:t>We must therefore avoid claiming that Ruth 4:13–22 proves a simple, universally applicable rule under which the child of a redeemer automatically became the legal son of the deceased. Deuteronomy 25 describes a specific obligation involving brothers; Ruth’s circumstances involve a different relative and a public transaction whose precise customary basis remains debated. The preservation of a deceased man’s name is a stated purpose of the arrangement, but its technical operation is not exhaustively explained.</w:t>
      </w:r>
    </w:p>
    <w:p>
      <w:r>
        <w:t>Numbers 27 and 36 will be indispensable to our synthesis because they show the covenantal concern for inheritance continuity and tribal holdings. Nevertheless, the daughters of Zelophehad inherited in a situation different from that of Ruth and Naomi. Their case provides illuminating legal background rather than a direct statutory description of Obed’s inheritance. This distinction will remain central when we examine the relationship between redemption, marriage, and land in Module 6.</w:t>
      </w:r>
    </w:p>
    <w:p>
      <w:pPr>
        <w:pStyle w:val="Heading1"/>
      </w:pPr>
      <w:r>
        <w:t>VI. Ruth, David, and the Canonical Horizon</w:t>
      </w:r>
    </w:p>
    <w:p>
      <w:r>
        <w:t>The closing reference to David places the story within the history of the monarchy, while Matthew 1 later places Ruth within the genealogy of Jesus Christ. These canonical connections are theologically important, but the narrative should not be reduced to a set of predictions concealed in the behavior of its characters. Ruth is a story about a family living under Israel’s covenant institutions, and its redemptive-historical significance emerges through that concrete history.</w:t>
      </w:r>
    </w:p>
    <w:p>
      <w:r>
        <w:t>The inclusion of a Moabite woman in David’s ancestry also invites reflection upon covenant identity, loyalty to Israel’s God, and the manner in which outsiders may become participants in the unfolding purposes of the Lord. Such reflection must account for the restrictions associated with Moab in Deuteronomy 23 and should not pretend that Ruth offers a complete legal treatise on their interpretation. The narrative’s emphasis falls upon Ruth’s allegiance and the recognized integrity of her conduct.</w:t>
      </w:r>
    </w:p>
    <w:p>
      <w:r>
        <w:t>Christian readers may discern in the institution of redemption a pattern that helps illuminate the wider biblical language of deliverance and restoration. Yet Boaz and Christ are not interchangeable figures, and the legal acts at Bethlehem’s gate should not be treated as if they reproduce the mechanics of New Testament salvation. The strongest theological reading first establishes the historical meaning of the text and then follows the canonical development of redemption through Scripture.</w:t>
      </w:r>
    </w:p>
    <w:p>
      <w:pPr>
        <w:pStyle w:val="Heading1"/>
      </w:pPr>
      <w:r>
        <w:t>VII. Theological Synthesis: Providence Without Erasing Human Agency</w:t>
      </w:r>
    </w:p>
    <w:p>
      <w:r>
        <w:t>Ruth begins with a family whose future seems to have narrowed to grief and insecurity. It ends with a household restored and a genealogy extending to David. Between those endpoints, the Lord’s providence is disclosed through gleaning provisions, the faithfulness of Ruth, the generosity and integrity of Boaz, the acknowledgment of a nearer relative’s priority, and the community’s public recognition of the resulting transaction. Divine sovereignty does not render these human actions incidental; the narrative presents them as meaningful elements within the unfolding outcome.</w:t>
      </w:r>
    </w:p>
    <w:p>
      <w:r>
        <w:t>At the same time, the story does not promise that every experience of loss will be resolved within one lifetime or through a comparable change in family circumstances. Its theological claim is more particular and more profound: in this history, God works through covenant faithfulness and ordinary social institutions to preserve a family and advance purposes that its members could not yet see. The reader is invited to recognize both the dignity of faithful conduct and the limitations of human perspective.</w:t>
      </w:r>
    </w:p>
    <w:p>
      <w:pPr>
        <w:pStyle w:val="Heading1"/>
      </w:pPr>
      <w:r>
        <w:t>Conclusion and Transition to Module 6</w:t>
      </w:r>
    </w:p>
    <w:p>
      <w:r>
        <w:t>The birth of Obed resolves the immediate tension of Ruth while opening the narrative toward the history of David. Naomi’s emptiness is answered by renewed family life; Ruth’s loyalty receives public acknowledgment; and Boaz’s responsible action becomes part of a genealogy whose significance extends far beyond Bethlehem. The concluding verses therefore unite the personal, legal, and historical dimensions of the book without dissolving their differences.</w:t>
      </w:r>
    </w:p>
    <w:p>
      <w:r>
        <w:t>Module 6 will return to the legal foundations underlying this resolution. We will examine the go’el provisions of Leviticus 25, the levirate law of Deuteronomy 25, the inheritance legislation of Numbers 27 and 36, and the public transaction of Ruth 4. Particular attention will be given to the city gate, ten elders, nearer redeemer, sandal custom, property language, public witnesses, and the textual difficulty of Ruth 4:5. Our aim will be to establish precisely what the Law required, what the narrative records, and where responsible historical interpretation must acknowledge uncertainty.</w:t>
      </w:r>
    </w:p>
    <w:p>
      <w:pPr/>
      <w:r>
        <w:rPr>
          <w:sz w:val="16"/>
        </w:rPr>
        <w:t>Scripture quotations taken from the (NASB®) New American Standard Bible®, Copyright © 1960, 1971, 1977 by The Lockman Foundation. Used by permission. All rights reserved. www.Lockman.org</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Ruth • Module 5 | Teaching Manuscript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Cambria" w:hAnsi="Cambria"/>
      <w:b/>
      <w:bCs/>
      <w:color w:val="223544"/>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Cambria" w:hAnsi="Cambria"/>
      <w:b/>
      <w:color w:val="22354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60" w:after="100"/>
    </w:pPr>
    <w:rPr>
      <w:rFonts w:asciiTheme="majorHAnsi" w:eastAsiaTheme="majorEastAsia" w:hAnsiTheme="majorHAnsi" w:cstheme="majorBidi" w:ascii="Cambria" w:hAnsi="Cambria"/>
      <w:b w:val="0"/>
      <w:i/>
      <w:iCs/>
      <w:color w:val="57647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