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Subtitle"/>
      </w:pPr>
      <w:r>
        <w:t>MODULE 6  |  THE LEGAL FOUNDATIONS OF REDEMPTION, MARRIAGE, AND INHERITANCE</w:t>
      </w:r>
    </w:p>
    <w:p>
      <w:pPr>
        <w:pStyle w:val="Subtitle"/>
      </w:pPr>
      <w:r>
        <w:t>An Integrated Examination of Leviticus 25, Deuteronomy 25, Numbers 27 and 36, Genesis 38, and Ruth 4</w:t>
      </w:r>
    </w:p>
    <w:p>
      <w:pPr>
        <w:pStyle w:val="Heading1"/>
      </w:pPr>
      <w:r>
        <w:t>Introduction: Three Laws and One Family Crisis</w:t>
      </w:r>
    </w:p>
    <w:p>
      <w:r>
        <w:t>The fourth chapter of Ruth describes a resolution to a family crisis that began with famine, migration, and the deaths of Elimelech and his two sons. The narrative brings together the recovery of family property, marriage to a widow, the preservation of the deceased man's name, and a public transaction before witnesses. Because these concerns intersect, interpreters have sometimes described the marriage of Boaz and Ruth as though it were simply an application of the law of levirate marriage. Such a description overlooks important distinctions in Israelite law. Boaz is a relative of Elimelech's family, but he is not identified as the brother of Ruth's deceased husband. The transaction involves a nearer relative with prior redemption rights, yet the Pentateuch does not set out a single statute requiring every land redeemer to marry the deceased owner's widow. The book therefore invites careful attention to the relationship between explicit legislation, customary practice, and the moral choices of the participants.</w:t>
      </w:r>
    </w:p>
    <w:p>
      <w:r>
        <w:t>Three legal bodies provide our foundation. Leviticus 25 addresses the redemption of ancestral land and, in other circumstances, persons who have fallen into servitude. Deuteronomy 25:5–10 addresses the duty of a surviving brother toward his deceased brother's widow under specified conditions. Numbers 27 and 36 address the inheritance rights of daughters where no sons survive and the protection of tribal land allotments. Genesis 38 supplies an earlier narrative involving a widow and the continuation of a deceased man's line, while Ruth 4 records a local public procedure whose details illuminate, but do not simply duplicate, these laws. The task is not to force all these texts into one undifferentiated institution, but to understand why they illuminate the same family predicament from different directions.</w:t>
      </w:r>
    </w:p>
    <w:p>
      <w:pPr/>
      <w:r>
        <w:t>Readers sometimes assume that a kinsman-redeemer was obligated to marry any widow connected to property he redeemed. That impression arises understandably from Ruth 4, where land and marriage are joined in a single proceeding. Leviticus 25, however, sets out redemption of land without prescribing marriage to the seller’s widow. The family relationship gives the relative a role in recovering ancestral holdings; it does not, by itself, create the marriage duty defined elsewhere. The distinction matters because the narrative must supply the connection between the two acts rather than our importing it into Leviticus.</w:t>
      </w:r>
    </w:p>
    <w:p>
      <w:pPr>
        <w:pStyle w:val="Heading1"/>
      </w:pPr>
      <w:r>
        <w:t>I. The Land Belongs to the Lord: The Foundation in Leviticus 25</w:t>
      </w:r>
    </w:p>
    <w:p>
      <w:r>
        <w:t>The starting point for Israelite land redemption is theological. Leviticus 25:23 identifies the land as belonging ultimately to the Lord and portrays Israel as possessing it under divine grant. Ancestral allotments were therefore not merely commercial assets. They embodied the family's place within the covenant community and were subject to provisions intended to prevent permanent loss through economic misfortune. Leviticus 25:24–28 establishes the possibility that a close relative might redeem land that a family member had sold because of poverty. If a qualified relative did not intervene, the original seller could recover the land under specified conditions, while the Jubilee provisions placed limits on permanent alienation.</w:t>
      </w:r>
    </w:p>
    <w:p>
      <w:r>
        <w:t>The Hebrew participle go'el, from the root ga'al, describes one who acts as a redeemer or claimant on behalf of a family member. Its usage across the Old Testament is broader than one narrowly defined office. In Leviticus 25, the relevant responsibility concerns recovery of property and, elsewhere in the chapter, the redemption of an Israelite from certain forms of bondage. In Numbers 35, a related expression describes the avenger of blood, an institution with a different legal function. The shared vocabulary reflects the principle of kinship responsibility, not the idea that every redeemer performed every possible duty in every case.</w:t>
      </w:r>
    </w:p>
    <w:p>
      <w:r>
        <w:t>Boaz is introduced in Ruth 2:1 as a man connected to Elimelech's family, and Naomi identifies him in Ruth 2:20 as one of their redeemers. The language indicates eligibility within a circle of relatives; it does not prove that he holds the first claim. Ruth 3:12 makes the limitation explicit when Boaz acknowledges a relative nearer than himself. Thus the plot does not turn simply upon Boaz's willingness but also upon the lawful order in which family claims must be addressed.</w:t>
      </w:r>
    </w:p>
    <w:p>
      <w:pPr/>
      <w:r>
        <w:t>The frequent description of Boaz as Ruth’s “levirate husband” captures an important resemblance but can obscure a decisive difference. Deuteronomy 25 addresses a surviving brother and prescribes a particular procedure if he refuses. Neither Boaz nor the unnamed nearer redeemer is identified as Mahlon’s brother. Ruth 4 nevertheless emphasizes maintaining the deceased man’s name on his inheritance, a purpose resembling the levirate statute. The most defensible description is therefore a kinship redemption joined to a levirate-like concern for continuity, while acknowledging that the complete customary framework is not preserved for us.</w:t>
      </w:r>
    </w:p>
    <w:p>
      <w:pPr>
        <w:pStyle w:val="Heading1"/>
      </w:pPr>
      <w:r>
        <w:t>II. Levirate Marriage: Its Purpose and Its Limits</w:t>
      </w:r>
    </w:p>
    <w:p>
      <w:r>
        <w:t>Deuteronomy 25:5–10 describes a specific circumstance: brothers dwelling together, one brother dying without a son, and the surviving brother undertaking marriage with the widow to preserve the deceased brother's name in Israel. The Hebrew term often rendered brother-in-law in this passage belongs to the vocabulary from which the term levirate marriage is derived. The legislation includes a procedure for refusal before the elders and a public act involving the removal of a sandal and an expression of disgrace. Its purpose is not simply the remarriage of a widow but the continuation of the deceased brother's household and name.</w:t>
      </w:r>
    </w:p>
    <w:p>
      <w:r>
        <w:t>The relationship to Ruth is substantial but not identical. Boaz is not described as Mahlon's brother, and the nearer redeemer is likewise not identified as such. Consequently, neither man can be said on the basis of the narrative alone to fall under the precise fraternal duty specified in Deuteronomy 25. Yet Ruth 4:5 and 4:10 expressly connect the proposed marriage to raising up or maintaining the name of the deceased upon his inheritance. This is a recognizable parallel of purpose. The best approach is to distinguish a levirate-like concern for family continuity from proof that the technical statutory requirements of Deuteronomy 25 govern the entire transaction.</w:t>
      </w:r>
    </w:p>
    <w:p>
      <w:r>
        <w:t>There is also an important legal nuance. Deuteronomy 25 describes a widow whose deceased husband has no son, while the inheritance rules of Numbers 27 operate with a more elaborate succession order. These texts address related social concerns from different angles. We should not assume that the preservation of a name always entailed precisely the same legal consequence for ownership, descent, or inheritance in every historical setting. Ruth's account tells us what Boaz publicly undertook, but does not supply a comprehensive treatise on how all resulting property interests would be administered.</w:t>
      </w:r>
    </w:p>
    <w:p>
      <w:pPr/>
      <w:r>
        <w:t>A common inference is that Numbers 27 proves Ruth inherited Mahlon’s land, or that Naomi necessarily inherited Elimelech’s property as a widow. The petition of Zelophehad’s daughters concerns daughters when a father has no son; the succession order then names brothers and other relatives, but does not explicitly assign the same position to a widow or daughter-in-law. Numbers 36 narrows its marriage restriction to women who inherit tribal holdings under the circumstances discussed there. The legislation is therefore indispensable background for the importance of preserving land within a family, yet it cannot settle the precise legal interests of Naomi and Ruth without further evidence from Ruth itself.</w:t>
      </w:r>
    </w:p>
    <w:p>
      <w:pPr>
        <w:pStyle w:val="Heading1"/>
      </w:pPr>
      <w:r>
        <w:t>III. The Daughters of Zelophehad: Numbers 27 and 36</w:t>
      </w:r>
    </w:p>
    <w:p>
      <w:r>
        <w:t>Numbers 27:1–11 records the petition of Mahlah, Noah, Hoglah, Milcah, and Tirzah, the daughters of Zelophehad. Their father died without sons, and they challenged the prospect that his name would disappear from his clan because he had no male heir. The Lord affirmed the justice of their claim, and the resulting rule established that a daughter could inherit when a man died without a son. The legislation then articulated a succession sequence involving brothers, paternal uncles, and the nearest relative within the clan when closer categories were absent. It is a significant instance in which a particular family problem becomes the occasion for a general legal provision.</w:t>
      </w:r>
    </w:p>
    <w:p>
      <w:r>
        <w:t>Numbers 36:1–12 raises a second concern. If daughters holding inherited tribal land married into another tribe, the property might be attached to the husband's tribal allotment, altering the original distribution. The response required the daughters in this particular inheritance situation to marry within the clan of their father's tribe, thereby preserving the tribal inheritance. The five daughters complied by marrying within their father's kin group. The two passages must be read together: Numbers 27 protects inheritance where sons are absent, while Numbers 36 addresses the continuity of the tribal allotment when such inherited property passes through marriage.</w:t>
      </w:r>
    </w:p>
    <w:p>
      <w:r>
        <w:t>These laws matter to Ruth because they reveal the covenantal importance of both a family name and an ancestral holding. Nevertheless, their application cannot be asserted mechanically. Naomi is Elimelech's widow, not his daughter, and Ruth is Mahlon's widow, not a daughter of Elimelech. Neither woman is described as inheriting under the exact daughter-heir provision established for Zelophehad's family. Ruth 4:3 attributes the land transaction to Naomi, but the nature of her interest, the status of the property, and the precise form of the transaction remain debated. The laws of Numbers supply the larger inheritance framework and sharpen our questions; they do not by themselves answer every question about Naomi's title or Ruth's rights.</w:t>
      </w:r>
    </w:p>
    <w:p>
      <w:pPr/>
      <w:r>
        <w:t>The comparison with Tamar also requires restraint. Because Genesis 38 portrays a brotherly duty and Ruth 4 recalls Perez, it is tempting to conclude that Judah’s episode supplies the exact legal rule governing Boaz. Yet Genesis 38 precedes the Mosaic formulation and describes a different set of kinship relationships. The explicit reference to Perez makes the narrative analogy significant, especially for the survival of a family line, but it does not erase the difference between Judah’s household and the situation of Ruth and Boaz.</w:t>
      </w:r>
    </w:p>
    <w:p>
      <w:pPr>
        <w:pStyle w:val="Heading1"/>
      </w:pPr>
      <w:r>
        <w:t>IV. Genesis 38: Judah, Tamar, and the Preservation of a Line</w:t>
      </w:r>
    </w:p>
    <w:p>
      <w:r>
        <w:t>Genesis 38 provides an earlier narrative in which a widow's future is linked to the responsibility of a deceased husband's family. Judah directs Onan to fulfill a brotherly obligation toward Tamar after Er's death, and Onan refuses the reproductive responsibility associated with that union. When Judah subsequently withholds Shelah, Tamar acts to secure the continuation of the family line through Judah himself. The episode precedes the Sinai legislation and should not be treated as a verbatim enactment of Deuteronomy 25. It nevertheless establishes that concern for a deceased man's descendants and a widow's place within the family was not invented by the later statute.</w:t>
      </w:r>
    </w:p>
    <w:p>
      <w:r>
        <w:t>The connection is made explicit in Ruth 4:12, where the witnesses invoke the house of Perez, whom Tamar bore to Judah. This is more than a casual genealogical reference. The community's blessing remembers an earlier episode in which the continuation of Judah's line emerged through unusual and morally complicated circumstances. The narratives are not ethically equivalent in every respect: Genesis 38 includes Judah's failures and Tamar's contested strategy, while Ruth emphasizes Boaz's public integrity and orderly resolution. Their common concern is the survival and future of a family line within Judah. The reference also anticipates the genealogy of Ruth 4:18–22, which begins with Perez and culminates in David.</w:t>
      </w:r>
    </w:p>
    <w:p>
      <w:pPr/>
      <w:r>
        <w:t>The ten elders are sometimes described as a formally prescribed court of ten, as though Ruth were quoting a statutory quorum. The narrator certainly emphasizes that Boaz summoned ten elders and conducted the matter publicly, but no law in the passages under examination specifies ten elders as the necessary number for this particular transaction. We should therefore explain their evident function as respected witnesses and community authorities without claiming a legal requirement that the text does not establish. Nor should the scene be relocated to Jerusalem: the gate is explicitly that of Bethlehem.</w:t>
      </w:r>
    </w:p>
    <w:p>
      <w:pPr>
        <w:pStyle w:val="Heading1"/>
      </w:pPr>
      <w:r>
        <w:t>V. The City Gate of Bethlehem: A Public Legal Setting</w:t>
      </w:r>
    </w:p>
    <w:p>
      <w:r>
        <w:t>Ruth 4:1 locates the transaction at the gate of Bethlehem. The setting must not be confused with Jerusalem: the narrative concerns the local community to which Naomi and Ruth had returned. In ancient Israelite towns, the gate area could serve as a place of public assembly, commercial exchange, civic deliberation, and legal testimony. Boaz's choice of location ensures that the matter is not resolved by private agreement alone. The rights of the nearer relative, the transfer of interests, and the community's recognition of the marriage are placed in a setting where others can hear and attest to what has occurred.</w:t>
      </w:r>
    </w:p>
    <w:p>
      <w:r>
        <w:t>Boaz sits at the gate and calls the nearer redeemer to turn aside. The narrative does not supply the man's name. Boaz then gathers ten elders of the city and asks them to sit. The number ten is explicit in Ruth 4:2, but the text does not explain why ten were required or whether this was a universal statutory quorum. Later Jewish traditions about ten-person assemblies must not simply be projected backward as proof of the exact procedure in Ruth's period. What the narrative makes clear is that respected local witnesses were assembled before the transaction was proposed and completed.</w:t>
      </w:r>
    </w:p>
    <w:p>
      <w:r>
        <w:t>The public setting protects more than Boaz's reputation. It allows the nearer relative to exercise or decline his prior claim without ambiguity, provides witnesses to the property arrangement, and gives communal recognition to the obligations that Boaz undertakes. The sequence also emphasizes Boaz's character: he does not attempt to evade the relative who has priority, even though he has already expressed willingness to act on Ruth's behalf.</w:t>
      </w:r>
    </w:p>
    <w:p>
      <w:pPr/>
      <w:r>
        <w:t>Another familiar reading treats the unnamed relative as morally corrupt because he declines once Ruth is mentioned. The contrast with Boaz’s generosity is real, and his stated concern about impairing his inheritance may strike modern readers as self-interested. Yet the narrative does not reveal his entire financial or family situation, nor does it subject him to the disgrace procedure prescribed for a refusing brother under Deuteronomy 25. We may assess the narrative contrast without inventing a motive or asserting a statutory violation that has not been demonstrated.</w:t>
      </w:r>
    </w:p>
    <w:p>
      <w:pPr>
        <w:pStyle w:val="Heading1"/>
      </w:pPr>
      <w:r>
        <w:t>VI. The Nearer Redeemer and the Order of Priority</w:t>
      </w:r>
    </w:p>
    <w:p>
      <w:r>
        <w:t>Boaz first presents the question of the land associated with Elimelech, describing Naomi as the person through whom the relevant transaction is to occur (Ruth 4:3–4). He invites the nearer relative to redeem in the presence of the assembled witnesses and acknowledges that the nearer man has priority, with Boaz next in line. The relative initially declares his willingness. This response makes sense if the transaction appears at first to concern an opportunity to recover property within the clan.</w:t>
      </w:r>
    </w:p>
    <w:p>
      <w:r>
        <w:t>The situation changes when Boaz introduces Ruth and the obligation to preserve the deceased man's name upon his inheritance. The nearer redeemer then declines, saying that he cannot redeem lest he impair his own inheritance. The text does not specify exactly how the transaction would endanger his estate. Possibilities include the cost of redemption, responsibility for the widow, the prospect of offspring connected to the deceased man's inheritance, and the effects upon existing heirs. These are explanatory proposals, not explicit statements of the narrator. The most responsible conclusion is that the fuller terms of the proposed redemption made the nearer man unwilling to undertake it.</w:t>
      </w:r>
    </w:p>
    <w:p>
      <w:r>
        <w:t>His refusal does not necessarily prove that he violated Deuteronomy 25. Since he is not identified as the deceased man's brother, the distinctive disgrace procedure for a refusing brother-in-law cannot be assumed to apply. The narrative instead records a recognized transfer of the opportunity to redeem, leaving Boaz free to act.</w:t>
      </w:r>
    </w:p>
    <w:p>
      <w:pPr/>
      <w:r>
        <w:t>Interpretive certainty is especially hazardous at verse 5. Readers encountering a smooth English translation may suppose that every aspect of the land-and-marriage condition is grammatically unambiguous. The Hebrew wording, however, has generated disagreement about how the acquisition language and Ruth’s participation relate, and textual witnesses must be evaluated before an exact legal reconstruction is asserted. Ruth 4:10 clearly records Boaz’s public commitment to marry Ruth and preserve the deceased man’s name; it does not answer every question about the earlier wording or the nature of Naomi’s property interest. The final textual audit must keep these distinct levels of certainty visible.</w:t>
      </w:r>
    </w:p>
    <w:p>
      <w:pPr>
        <w:pStyle w:val="Heading1"/>
      </w:pPr>
      <w:r>
        <w:t>VII. Ruth 4:5: The Difficult Wording of the Transaction</w:t>
      </w:r>
    </w:p>
    <w:p>
      <w:r>
        <w:t>Ruth 4:5 is one of the most important textual and interpretive difficulties in the book. The Hebrew wording joins the acquisition of the field from Naomi with Ruth the Moabite, the widow of the deceased, and the purpose of maintaining the deceased man's name upon his inheritance. Translators differ over how the acquisition language should be understood and how directly the purchase of the land is tied to acquiring Ruth as a wife. There are also textual questions concerning the form of the verb in the Masoretic tradition and its interpretation in ancient witnesses.</w:t>
      </w:r>
    </w:p>
    <w:p>
      <w:pPr/>
      <w:r>
        <w:t>The textual problem is more precise than a general ambiguity in translation. In the Masoretic written text (ketiv), the verb in Ruth 4:5 is קָנִיתִי (qaniti), a first-person form meaning ‘I have acquired’; the marginal reading tradition (qere) gives a second-person form, ‘you have acquired.’ Most translations follow the second-person reading because Boaz is addressing the nearer relative about the consequences of his decision. A second difficulty concerns וּמֵאֵת (ume’et), ordinarily ‘and from,’ before Ruth's name. Some interpreters retain this expression and understand Ruth as somehow participating in the property transaction, whereas a proposed textual correction, גַּם אֶת (gam et), ‘also [Ruth],’ understands Ruth herself as the additional object of acquisition. The Vulgate's equivalent of ‘also’ is evidence in favor of that reconstruction, but a reconstruction must not be presented as the undisputed Hebrew reading.</w:t>
      </w:r>
    </w:p>
    <w:p>
      <w:pPr/>
      <w:r>
        <w:t>The strongest contextual control is Boaz's declaration in Ruth 4:9–10: he distinguishes property acquired from Naomi from Ruth, whom he takes as his wife for the preservation of the deceased man's name. This strongly supports a reading in which the marriage is part of the transaction offered to the nearer redeemer, without settling whether the textual difficulty arose from scribal transmission or whether the received consonantal wording can be explained by an alternative syntax. Scholars disagree even over the preference for the written and read forms. The teaching should therefore distinguish the narrative's clear outcome from the uncertain grammatical pathway by which verse 5 expresses the offer.</w:t>
      </w:r>
    </w:p>
    <w:p>
      <w:r>
        <w:t>These uncertainties matter because a particular English rendering can make the legal obligation appear more explicit than the underlying text warrants. Ruth 4:10, however, provides an important control: Boaz publicly declares that he has acquired Ruth as his wife for the purpose of preserving the name of the deceased upon his inheritance. The chapter therefore plainly links marriage and family continuity, even if the precise legal mechanism in verse 5 remains disputed.</w:t>
      </w:r>
    </w:p>
    <w:p>
      <w:r>
        <w:t>A rigorous final audit should collate the Hebrew text, note the relevant textual witnesses, and verify the NASB 1977 wording from the designated reference edition before quoting the verse directly. Until that comparison is completed, the present module paraphrases the contested language and identifies the interpretive alternatives without presenting one disputed reconstruction as certain.</w:t>
      </w:r>
    </w:p>
    <w:p>
      <w:pPr/>
      <w:r>
        <w:t>The two sandal passages are often collapsed because both concern a man who does not undertake a family-related duty. In Deuteronomy 25 the widow removes the brother-in-law’s sandal in a public act associated with reproach; in Ruth 4 the nearer relative removes his own sandal as a customary confirmation of transfer or exchange. Ruth does not describe Ruth removing it, spitting, or pronouncing the Deuteronomic refusal formula. The similarities make comparison instructive, but the differences show why calling the Bethlehem ceremony a straightforward enactment of Deuteronomy 25 is misleading.</w:t>
      </w:r>
    </w:p>
    <w:p>
      <w:pPr>
        <w:pStyle w:val="Heading1"/>
      </w:pPr>
      <w:r>
        <w:t>VIII. The Sandal Ceremony: What It Signified and What It Did Not</w:t>
      </w:r>
    </w:p>
    <w:p>
      <w:r>
        <w:t>Ruth 4:7–8 explains that, in an earlier Israelite custom concerning redemption and exchange, one party removed a sandal and gave it to the other to confirm the matter. The nearer redeemer relinquishes his claim, removes his sandal, and thereby permits Boaz to proceed. The narrator supplies an explanatory comment, apparently for readers who might no longer be familiar with the custom. Its essential function in this scene is public confirmation of a transfer or relinquishment of a right.</w:t>
      </w:r>
    </w:p>
    <w:p>
      <w:r>
        <w:t>The sandal action should be compared carefully with Deuteronomy 25:7–10. In that passage, the widow removes the refusing brother-in-law's sandal, spits in his face or presence as the Hebrew is interpreted, and pronounces a formula associated with public shame. In Ruth 4, by contrast, the nearer redeemer removes his own sandal; Ruth does not perform the action, no spitting is recorded, and no disgrace formula is pronounced. The narratives share the symbolism of a sandal in a family-related legal proceeding, but their participants, procedures, and expressed meanings are not identical.</w:t>
      </w:r>
    </w:p>
    <w:p>
      <w:pPr/>
      <w:r>
        <w:t>The distinction is also important for the ethics of the scene. Deuteronomy 25:9 places the widow at the center of a ritual of reproach when a brother refuses the stipulated obligation. Ruth 4:7–8 instead explains a customary transaction marker and records the nearer redeemer removing his own sandal. There is no spitting, no naming formula of disgrace, and no claim that Ruth performed the ceremony. These are not merely omitted incidental details: they are positive differences in agency, purpose, and narrated procedure.</w:t>
      </w:r>
    </w:p>
    <w:p>
      <w:r>
        <w:t>The significance is therefore not that Boaz performed a levirate refusal ritual on Ruth's behalf. Rather, the nearer relative publicly surrendered his opportunity to redeem, and the customary gesture furnished visible confirmation before the elders and other witnesses. We should avoid attaching speculative symbolic meanings to the sandal beyond what the narrator explains.</w:t>
      </w:r>
    </w:p>
    <w:p>
      <w:pPr>
        <w:pStyle w:val="Heading1"/>
      </w:pPr>
      <w:r>
        <w:t>IX. The Witnesses, the Declarations, and the Community Blessing</w:t>
      </w:r>
    </w:p>
    <w:p>
      <w:r>
        <w:t>Following the relinquishment, Boaz addresses the elders and the people as witnesses. He declares his acquisition of what belonged to Elimelech and to Chilion and Mahlon from Naomi, and he also declares that he has acquired Ruth the Moabite, Mahlon's widow, as his wife. The stated purpose is to preserve the name of the deceased in relation to his inheritance, so that the name will not be cut off from his relatives or the gate of his native place. The declaration joins the economic, familial, and communal dimensions of the transaction. It also shows that the concern for the deceased man's name is not a later theological inference imposed upon the scene; it is part of Boaz's own public explanation.</w:t>
      </w:r>
    </w:p>
    <w:p>
      <w:r>
        <w:t>The elders and the people respond by acknowledging their witness and pronouncing a blessing. They invoke Rachel and Leah, whose households became foundational to Israel, and express the hope that Ruth will build a fruitful household. They also invoke Perez, the son of Judah and Tamar, thereby linking this marriage to an earlier story of lineage preserved amid difficulty. The blessing does not itself create the marriage, but it gives the event public recognition and places the household's future within Israel's remembered history.</w:t>
      </w:r>
    </w:p>
    <w:p>
      <w:r>
        <w:t>Several elements therefore work together: the nearer relative's opportunity, his refusal, the sandal gesture, Boaz's declaration, the witness of the elders and people, and the blessing. The text does not say that Boaz was required to produce a written deed, make a temple offering, or seek authorization from a royal court. Such procedures should not be invented to fill gaps in the account.</w:t>
      </w:r>
    </w:p>
    <w:p>
      <w:pPr/>
      <w:r>
        <w:t xml:space="preserve">The declaration that Obed was </w:t>
      </w:r>
      <w:r>
        <w:rPr>
          <w:i w:val="0"/>
        </w:rPr>
        <w:t>“</w:t>
      </w:r>
      <w:r>
        <w:rPr>
          <w:i/>
        </w:rPr>
        <w:t>born to Naomi</w:t>
      </w:r>
      <w:r>
        <w:rPr>
          <w:i w:val="0"/>
        </w:rPr>
        <w:t>”</w:t>
      </w:r>
      <w:r>
        <w:t xml:space="preserve"> is sometimes taken as proof of formal adoption or as a complete statement of succession to Mahlon’s estate. Its literary function, however, is to celebrate Naomi’s restoration within her community. Ruth 4 names Boaz as Ruth’s husband and places Obed in the genealogy leading to David, but does not set out a comprehensive probate record. We should preserve the theological force of renewed family life without claiming more precise legal arrangements than the narrative supplies.</w:t>
      </w:r>
    </w:p>
    <w:p>
      <w:pPr>
        <w:pStyle w:val="Heading1"/>
      </w:pPr>
      <w:r>
        <w:t>X. What Was Redeemed, and Who Inherited?</w:t>
      </w:r>
    </w:p>
    <w:p>
      <w:r>
        <w:t>A central difficulty remains after the ceremony: what precisely happened to the land, and how were the interests of Naomi, Ruth, Boaz, and any future offspring related? Ruth 4 speaks of property connected with Elimelech and his sons and describes Boaz's acquisition in conjunction with marriage to Ruth. It does not, however, give a full account of the underlying land tenure, whether a sale had already occurred, how Naomi could dispose of the interest, or what future transfer of title might have followed. Some scholars understand the scene as redemption of alienated family land; others emphasize the acquisition of a right to property or a family holding in danger of passing outside the line. The available wording does not settle every detail.</w:t>
      </w:r>
    </w:p>
    <w:p>
      <w:r>
        <w:t>Nor should we automatically describe Obed as the legal son of Mahlon in precisely the same way a child born under the specific brother-in-law provisions of Deuteronomy 25 might be regarded. Ruth 4:13 identifies Boaz as Ruth's husband, and the genealogy names Boaz as Obed's father. The women of Bethlehem celebrate the child in relation to Naomi's restoration, and the narrative connects the marriage with preserving the deceased man's name. These features must be held together without replacing the genealogy's explicit parentage with an unsupported legal formula.</w:t>
      </w:r>
    </w:p>
    <w:p>
      <w:r>
        <w:t>Numbers 27 and 36 sharpen this question by demonstrating how carefully Israel's law treated inheritance and family continuity. Yet they do not establish that Ruth became an inheriting daughter or that Naomi possessed a daughter's statutory entitlement. The legal narrative gives us the outcome and its public validation while leaving some technical property questions unresolved.</w:t>
      </w:r>
    </w:p>
    <w:p>
      <w:pPr/>
      <w:r>
        <w:t>An additional distinction should govern every reference to inheritance. Ruth 4:9 names property associated with Elimelech, Chilion, and Mahlon, but does not explain whether Naomi possessed legal title, exercised control over a family interest, or represented an interest subject to redemption. The language ‘from the hand of Naomi’ identifies her as the party through whom Boaz acquires the property; it does not by itself resolve the underlying title question. Likewise, Numbers 27 establishes a daughter's right in the absence of sons, not an automatic widow's succession rule. The narrative's silence on the eventual distribution of property should remain a genuine limit on our conclusions.</w:t>
      </w:r>
    </w:p>
    <w:p>
      <w:pPr/>
      <w:r>
        <w:t>A contrary overcorrection would be to insist that Boaz’s marriage was wholly unrelated to law because he was not Mahlon’s brother. That position also neglects the narrative: the nearer redeemer has priority, Boaz undertakes a public transaction, and preserving the deceased name is expressly announced. The evidence points to an intelligible family practice shaped by redemption and continuity, even if it cannot be reduced to one surviving statute. This balanced reading protects both the legal seriousness of the act and the generosity of Boaz’s choice.</w:t>
      </w:r>
    </w:p>
    <w:p>
      <w:pPr>
        <w:pStyle w:val="Heading1"/>
      </w:pPr>
      <w:r>
        <w:t>XI. Was Boaz Obligated to Marry Ruth?</w:t>
      </w:r>
    </w:p>
    <w:p>
      <w:r>
        <w:t>The evidence supports a carefully qualified answer. Boaz belonged to the appropriate family circle for redemption, but he was not first in line. The nearer relative could decline the transaction, and Boaz then undertook it. Neither Boaz nor the nearer man is identified as Mahlon's brother, so the precise levirate duty of Deuteronomy 25 cannot be demonstrated. The text does portray a recognized association between property redemption and preserving the deceased man's name through marriage, but it does not reproduce a Pentateuchal statute requiring every go'el to marry a widow.</w:t>
      </w:r>
    </w:p>
    <w:p>
      <w:r>
        <w:t>It is therefore reasonable to describe Boaz's conduct as a voluntary and publicly accountable undertaking within the framework of family redemption and a levirate-like concern for continuity. This does not mean that the transaction was legally unregulated or improvised. Boaz observes kinship priority, assembles witnesses, follows a recognized confirmation custom, and declares the terms openly. His generosity is expressed through orderly respect for the community's legal institutions rather than through disregard for them.</w:t>
      </w:r>
    </w:p>
    <w:p>
      <w:pPr/>
      <w:r>
        <w:t>Accordingly, the most defensible synthesis is neither ‘Boaz simply obeyed Deuteronomy 25’ nor ‘Boaz invented a private marriage arrangement unrelated to law.’ Ruth portrays a recognized redemption priority publicly transferred to Boaz, combined with an undertaking to marry Ruth and preserve the deceased man's name. The combination is levirate-like in purpose, but the account does not identify an exact statutory mechanism that compelled this more distant relative to marry. That measured conclusion should control our explanations in Modules 3–5 and 7.</w:t>
      </w:r>
    </w:p>
    <w:p>
      <w:r>
        <w:t>This conclusion also preserves the importance of hesed, the faithful kindness that shapes Ruth's loyalty and Boaz's response. The narrative portrays covenant faithfulness not as an alternative to law but as the moral character with which lawful responsibilities and opportunities are exercised.</w:t>
      </w:r>
    </w:p>
    <w:p>
      <w:pPr>
        <w:pStyle w:val="Heading1"/>
      </w:pPr>
      <w:r>
        <w:t>XII. Redemption and the Larger Biblical Narrative</w:t>
      </w:r>
    </w:p>
    <w:p>
      <w:r>
        <w:t>Within its immediate historical setting, Ruth concerns the restoration of a threatened household. Its legal language should first be understood in that concrete setting: property, marriage, kinship, witnesses, and the preservation of a name. The book then moves beyond that immediate restoration by tracing the ancestry of David. Matthew's genealogy places Ruth within the ancestry of Jesus Christ, inviting a broader canonical reflection upon God's providential use of vulnerable people and faithful actions in the unfolding history of redemption.</w:t>
      </w:r>
    </w:p>
    <w:p>
      <w:r>
        <w:t>The relationship between Boaz and Christ is meaningful when the comparison is disciplined. Boaz acts as a family redeemer in a specific Israelite legal setting; Christ's redemptive work is not a repetition of the Bethlehem property transaction. The connection lies in a developing biblical pattern of rescue, belonging, and the securing of a future for those in need, while the differences in historical role and saving significance remain essential. Ruth should not be converted into an allegory in which every legal detail is assigned a hidden Christian counterpart.</w:t>
      </w:r>
    </w:p>
    <w:p>
      <w:r>
        <w:t>The theological force of the narrative emerges most clearly when the historical meaning is honored. God works through a foreign widow's covenant loyalty, a relative's integrity, and a community's legal recognition to preserve a family whose future appeared lost. That preserved family becomes part of the royal ancestry through which the biblical story moves toward the Messiah.</w:t>
      </w:r>
    </w:p>
    <w:p>
      <w:pPr>
        <w:pStyle w:val="Heading1"/>
      </w:pPr>
      <w:r>
        <w:t>Conclusion: The Law, the Gate, and the Gift of a Future</w:t>
      </w:r>
    </w:p>
    <w:p>
      <w:r>
        <w:t>The public proceedings at Bethlehem's gate resolve more than a private question of marriage. They protect the priority of a nearer relative, clarify the transfer of redemption opportunity, publicly associate Boaz with the family property, recognize his marriage to Ruth, and establish the community's witness to his stated purpose of preserving the deceased man's name. The ten elders, the sandal, the declarations, and the blessing are not incidental decorations of the story; they show how a vulnerable family's restoration becomes publicly accountable within Israel's covenant community.</w:t>
      </w:r>
    </w:p>
    <w:p>
      <w:r>
        <w:t>Leviticus 25, Deuteronomy 25, and Numbers 27 and 36 explain different dimensions of the concerns at stake, but none should be made to say more than it does. Genesis 38 supplies an earlier family-continuity narrative that Ruth itself recalls. Together these texts illuminate why land, descendants, kinship, and public recognition mattered so deeply. Boaz's conduct is significant because he honors the established order while accepting a responsibility the nearer relative declines. The result is not merely the resolution of a legal question, but the opening of a future that Naomi and Ruth could scarcely have anticipated when they returned to Bethlehem.</w:t>
      </w:r>
    </w:p>
    <w:p>
      <w:pPr>
        <w:pStyle w:val="Heading1"/>
      </w:pPr>
      <w:r>
        <w:t>Primary Texts for Further Study</w:t>
      </w:r>
    </w:p>
    <w:p>
      <w:r>
        <w:t>Leviticus 25:23–28, 47–55; Deuteronomy 25:5–10; Numbers 27:1–11; Numbers 36:1–12; Genesis 38; Ruth 2:1, 20; 3:9–13; 4:1–22; Matthew 1:1–6.</w:t>
      </w:r>
    </w:p>
    <w:p>
      <w:pPr/>
      <w:r>
        <w:t>Selected textual scholarship for the final collation: Raanan Eichler, ‘Acquiring Ruth with the Land: A Text-Critical Solution for Ruth 4:5’ (2016), https://www.thetorah.com/article/acquiring-ruth-with-the-land-a-text-critical-solution-for-ruth-4-5; NET Bible, Ruth 4:5 textual notes, https://classic.net.bible.org/verse.php/verse.php?book=Rut&amp;chapter=4&amp;tab=commentaries&amp;verse=5. These resources provide competing grammatical and text-critical arguments; they are secondary aids and do not replace the designated NASB 1977 reference edition for quotation verification.</w:t>
      </w:r>
    </w:p>
    <w:p>
      <w:pPr/>
      <w:r>
        <w:rPr>
          <w:sz w:val="16"/>
        </w:rPr>
        <w:t>Scripture quotations taken from the (NASB®) New American Standard Bible®, Copyright © 1960, 1971, 1977 by The Lockman Foundation. Used by permission. All rights reserved. www.Lockman.org</w:t>
      </w:r>
    </w:p>
    <w:sectPr w:rsidR="00FC693F" w:rsidRPr="0006063C" w:rsidSect="00034616">
      <w:footerReference w:type="default" r:id="rId9"/>
      <w:pgSz w:w="12240" w:h="15840"/>
      <w:pgMar w:top="1224" w:right="1368" w:bottom="1152"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6 • Teaching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2394B"/>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2239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