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BOOK OF RUTH</w:t>
      </w:r>
    </w:p>
    <w:p>
      <w:pPr>
        <w:pStyle w:val="Subtitle"/>
      </w:pPr>
      <w:r>
        <w:t>MODULE 7  |  RUTH IN REDEMPTIVE HISTORY</w:t>
      </w:r>
    </w:p>
    <w:p>
      <w:pPr>
        <w:pStyle w:val="Heading1"/>
      </w:pPr>
      <w:r>
        <w:t>From Bethlehem to Christ: Providence, Covenant Faithfulness, and the Fulfillment of God’s Promises</w:t>
      </w:r>
    </w:p>
    <w:p>
      <w:pPr>
        <w:pStyle w:val="Heading2"/>
      </w:pPr>
      <w:r>
        <w:t>Introduction: The Narrative’s Expanding Horizon</w:t>
      </w:r>
    </w:p>
    <w:p>
      <w:r>
        <w:t>The conclusion of Ruth invites its readers to reconsider everything that has preceded it. What began with a famine, the migration of one household, and the deaths of three men concludes with the birth of Obed and a genealogy reaching to David. The narrative does not diminish the reality of Naomi’s losses or transform Ruth and Boaz into figures who understood the future consequences of their actions. Instead, it reveals a dimension of divine providence that becomes visible only when the immediate story is viewed within the longer history of Israel.</w:t>
      </w:r>
    </w:p>
    <w:p>
      <w:r>
        <w:t>This final module therefore moves deliberately from the original setting of Ruth to the wider biblical canon. The historical meaning of the book must remain foundational: Ruth is a Moabite widow, Boaz is a Bethlehemite relative with the capacity to act, Naomi is a bereaved Israelite whose household faces an uncertain future, and the public transaction in chapter 4 concerns concrete family and property interests. Only after those realities have been established can we ask how the narrative contributes to the unfolding history of redemption.</w:t>
      </w:r>
    </w:p>
    <w:p>
      <w:pPr>
        <w:pStyle w:val="Heading2"/>
      </w:pPr>
      <w:r>
        <w:t>I. Providence Without Spectacle</w:t>
      </w:r>
    </w:p>
    <w:p>
      <w:r>
        <w:t>One of Ruth’s most distinctive theological features is the absence of dramatic divine interventions. The narrative does not describe a prophet directing Ruth to the field of Boaz, a vision commanding Boaz to act, or a miraculous suspension of ordinary legal procedures. Ruth seeks work, encounters a landowner who shows her unusual generosity, and later appeals to him concerning his status as a redeemer. The outcome develops through human initiative, recognizable social institutions, and public accountability.</w:t>
      </w:r>
    </w:p>
    <w:p>
      <w:r>
        <w:t>Yet the narrator repeatedly permits the reader to perceive more than the characters themselves know. Ruth’s arrival in Boaz’s portion of the harvest fields is presented in language that draws attention to the apparent contingency of the event (Ruth 2:3). The theological force of the scene does not depend upon denying the ordinary character of Ruth’s decision. Rather, the narrative encourages the reader to recognize that God’s purposes can be accomplished through circumstances that appear unplanned from a human perspective.</w:t>
      </w:r>
    </w:p>
    <w:p>
      <w:r>
        <w:t>The book also resists a simplistic account of providence in which every painful event is explained as a specific punishment or every favorable event is interpreted as an immediate reward. Naomi understands her losses as occurring under the sovereignty of the Almighty, but the narrator does not explicitly endorse every inference she makes about their cause. Her anguish is taken seriously even as the story unfolds toward restoration. Faithful interpretation should preserve both truths: God remains sovereign, and sufferers do not necessarily possess a complete explanation of their suffering.</w:t>
      </w:r>
    </w:p>
    <w:p>
      <w:pPr>
        <w:spacing w:after="160"/>
      </w:pPr>
      <w:r>
        <w:t>The familiar assertion that Ruth happened upon Boaz’s field by mere accident arises naturally from the ordinary circumstances of gleaning. Conversely, the claim that God directly instructed her to choose that field attempts to safeguard divine sovereignty. Neither assertion fully respects the narrator’s presentation. Ruth 2:3 uses a striking expression of apparent chance, while the wider narrative allows readers to discern a providential outcome without recording an audible instruction or supernatural intervention. The distinction matters: providence need not be equated with a documented miracle, and the absence of a miracle does not require the exclusion of God’s purposes.</w:t>
      </w:r>
    </w:p>
    <w:p>
      <w:pPr>
        <w:pStyle w:val="Heading2"/>
      </w:pPr>
      <w:r>
        <w:t>II. Human Responsibility Within Divine Purpose</w:t>
      </w:r>
    </w:p>
    <w:p>
      <w:r>
        <w:t>Ruth’s decisions matter throughout the narrative. She chooses to remain with Naomi when returning to Moab would have offered a more familiar setting; she seeks permission to glean rather than waiting passively for provision; and she approaches Boaz with a request that places the question of redemption before him. Naomi likewise acts with concern for Ruth’s future, while Boaz protects Ruth in the fields and later undertakes a public procedure to establish whether he may redeem the family interests at stake.</w:t>
      </w:r>
    </w:p>
    <w:p>
      <w:r>
        <w:t>These choices are not portrayed as competitors to divine providence. The narrative’s theological vision holds together God’s overarching purpose and the genuine responsibility of human beings. Boaz cannot simply assume that his favorable intentions authorize him to bypass the nearer redeemer. His integrity is demonstrated partly by his willingness to follow an orderly process, even though that process could have resulted in another man exercising the prior right.</w:t>
      </w:r>
    </w:p>
    <w:p>
      <w:r>
        <w:t>For readers seeking a contemporary application, the narrative commends responsible faithfulness rather than an attempt to discover a hidden plan in every circumstance. Its principal characters act with courage, prudence, and concern for others while lacking knowledge of the future. The theological perspective supplied by the genealogy is a gift to the reader, not a claim that Ruth and Boaz possessed prophetic awareness of their place in David’s ancestry.</w:t>
      </w:r>
    </w:p>
    <w:p>
      <w:pPr>
        <w:spacing w:after="160"/>
      </w:pPr>
      <w:r>
        <w:t>It is sometimes assumed that trust in divine providence requires passive waiting, while another reading treats Ruth’s outcome as the predictable reward of her industriousness. The narrative supports neither reduction. Ruth takes initiative, Naomi offers counsel, and Boaz acts with deliberation, yet none of them possesses knowledge of the future genealogy. Their actions demonstrate real moral responsibility without providing a formula by which human effort guarantees a particular result. The text invites confidence in God’s purposes while refusing to turn its distinctive outcome into a universal promise of prosperity.</w:t>
      </w:r>
    </w:p>
    <w:p>
      <w:pPr>
        <w:pStyle w:val="Heading2"/>
      </w:pPr>
      <w:r>
        <w:t>III. Hesed: Covenant Loyalty Expressed Through Action</w:t>
      </w:r>
    </w:p>
    <w:p>
      <w:r>
        <w:t>The Hebrew term hesed provides an important interpretive thread through Ruth. Its range of meaning includes kindness, loyalty, steadfast commitment, and conduct consistent with an established relationship. Within this narrative, the term describes more than a private sentiment. It is expressed through actions that preserve and protect another person’s welfare, often at meaningful personal cost.</w:t>
      </w:r>
    </w:p>
    <w:p>
      <w:r>
        <w:t>Ruth’s devotion to Naomi demonstrates loyalty when no secure material advantage is apparent. Boaz’s conduct toward Ruth combines observance of the gleaning provisions with generous protection and provision. Naomi recognizes the significance of this kindness as the story develops. The moral dimension of redemption therefore cannot be reduced to the mechanics of acquiring property or completing a marriage arrangement. Those institutions provide the framework, but the characters’ conduct discloses the character of the faithfulness exercised within it.</w:t>
      </w:r>
    </w:p>
    <w:p>
      <w:r>
        <w:t>It is important, however, not to collapse every instance of kindness into a technical legal obligation. The gleaning laws establish rights for vulnerable persons; Boaz’s additional provision goes beyond a minimal reading of those requirements. Likewise, the marriage to Ruth cannot be identified without qualification as the compulsory levirate marriage of Deuteronomy 25, since Boaz is not described as Mahlon’s surviving brother. The theological force of the narrative is strengthened, rather than weakened, when its legal distinctions are maintained.</w:t>
      </w:r>
    </w:p>
    <w:p>
      <w:pPr>
        <w:spacing w:after="160"/>
      </w:pPr>
      <w:r>
        <w:t>A common explanation defines hesed exclusively as covenant love and then treats every act described by the term as fulfillment of an enforceable covenant duty. This interpretation recognizes the relational depth of the word but risks narrowing its range. In Ruth, the term describes loyal kindness expressed within family and communal relationships, sometimes extending beyond what the law could compel. Its meaning must therefore be determined from the persons involved and the circumstances of each occurrence, rather than from a single technical definition applied everywhere.</w:t>
      </w:r>
    </w:p>
    <w:p>
      <w:pPr>
        <w:pStyle w:val="Heading2"/>
      </w:pPr>
      <w:r>
        <w:t>IV. The Historical Meaning of Boaz’s Redemption</w:t>
      </w:r>
    </w:p>
    <w:p>
      <w:r>
        <w:t>The word family associated with the Hebrew go’el concerns the activity of a qualified relative who may recover family property or otherwise act to protect kinship interests. In Ruth 4, the transaction is conducted before elders and witnesses at Bethlehem’s gate. A nearer relative is given the first opportunity to act, declines the proposed transaction when its fuller implications are disclosed, and relinquishes his claim through a customary sandal procedure. Boaz then publicly declares the acquisition of the relevant family interests and his intention to marry Ruth.</w:t>
      </w:r>
    </w:p>
    <w:p>
      <w:r>
        <w:t>The legal background is complex. Leviticus 25 addresses redemption of ancestral land, Deuteronomy 25 addresses a surviving brother’s responsibility toward a childless widow, and Numbers 27 and 36 address inheritance and the preservation of family or tribal allotments in circumstances involving daughters. Ruth draws upon concerns familiar from these institutions, but it does not provide a statutory formula establishing that all three laws operate as one unified legal requirement. In particular, the precise construction of Ruth 4:5 and the relationship between land redemption and marriage remain matters of textual and historical discussion.</w:t>
      </w:r>
    </w:p>
    <w:p>
      <w:r>
        <w:t>This complexity should restrain interpretations that portray Boaz as simply purchasing Ruth, or that assume Naomi and Ruth held rights identical to those of Zelophehad’s daughters. Ruth is a person whose consent, loyalty, and actions are central to the story; the transaction also concerns family property and the continuation of the deceased man’s name. Our interpretation should respect the social realities of the ancient setting without imposing either modern contractual categories or an unwarranted legal certainty upon the text.</w:t>
      </w:r>
    </w:p>
    <w:p>
      <w:pPr>
        <w:spacing w:after="160"/>
      </w:pPr>
      <w:r>
        <w:t>Some familiar retellings suggest that Boaz bought Ruth as property, while others state that the law compelled him to marry her as her deceased husband’s brother. The first overlooks Ruth’s agency and the narrative’s distinction between acquiring family property and taking a wife; the second overlooks the specific brotherly relationship required by Deuteronomy 25:5–10. Boaz is a relative of Elimelech’s household, not identified as Mahlon’s brother. Ruth 4 connects the land transaction and marriage with preserving the deceased man’s name, but its legal combination should be examined as the narrative presents it, rather than forced into an exact statutory category. The disputed wording of Ruth 4:5 further cautions against claims of complete certainty about the mechanics of the transaction.</w:t>
      </w:r>
    </w:p>
    <w:p>
      <w:pPr>
        <w:pStyle w:val="Heading2"/>
      </w:pPr>
      <w:r>
        <w:t>V. Boaz and Christ: Typology With Necessary Boundaries</w:t>
      </w:r>
    </w:p>
    <w:p>
      <w:r>
        <w:t>Christian readers have long perceived a meaningful analogy between Boaz, who acts for the welfare of a vulnerable family, and Jesus Christ, in whom the New Testament locates the decisive accomplishment of redemption. That analogy has theological value, but it must be articulated carefully. Ruth itself does not explicitly announce Boaz as a messianic prediction, and the New Testament does not directly identify him as a formal type of Christ in the manner that it explicitly interprets certain other Old Testament figures and institutions.</w:t>
      </w:r>
    </w:p>
    <w:p>
      <w:pPr/>
      <w:r>
        <w:t>A responsible Christian reading begins with the actual limits of the ancient transaction. Boaz acts as an eligible relative, honors a nearer claimant, and publicly undertakes the connected responsibilities of property redemption and marriage. The narrative does not make him Mahlon’s brother under Deuteronomy 25, establish Ruth as a daughter inheriting under Numbers 27 and 36, or specify Obed’s later legal title. These limits do not diminish the canonical analogy between Boaz’s costly care and the greater work of Christ; they protect that analogy from becoming a claim that every legal detail in Ruth is a direct prediction of the Messiah.</w:t>
      </w:r>
    </w:p>
    <w:p>
      <w:r>
        <w:t>The comparison is strongest when it begins with the biblical pattern of a qualified person acting to restore those who face loss and cannot secure the desired future by their own resources. Boaz possesses the relevant family standing and willingly undertakes the transaction after respecting the prior claim. The New Testament describes Christ’s redemptive work in terms of divine initiative, costly deliverance, and the creation of a people belonging to God. These are illuminating points of theological resonance, not assertions that the two redemptions are identical in their legal basis or effect.</w:t>
      </w:r>
    </w:p>
    <w:p>
      <w:r>
        <w:t>The differences are as instructive as the similarities. Boaz redeems family interests within Israel’s social and property arrangements; Christ redeems from sin and its consequences. Boaz’s act occurs before local witnesses and produces a marriage and a household; Christ’s work concerns the saving purposes of God for His people and cannot be reduced to an ancient land transaction. Boaz does not save Ruth by atoning for her sins, nor is Ruth merely a cipher for the church. Maintaining these distinctions protects both the historical integrity of Ruth and the distinctive significance of Christ’s work.</w:t>
      </w:r>
    </w:p>
    <w:p>
      <w:r>
        <w:t>The appropriate movement, then, is from historical exposition to canonical theology: first establish what Boaz did in Bethlehem, then consider how the broader scriptural theme of redemption finds its climactic expression in Jesus Christ. This is a disciplined form of theological reading rather than an allegorical assignment of hidden meanings to each narrative detail.</w:t>
      </w:r>
    </w:p>
    <w:p>
      <w:pPr>
        <w:spacing w:after="160"/>
      </w:pPr>
      <w:r>
        <w:t>The popular assertion that Boaz is a direct, detail-for-detail representation of Christ arises from the genuine biblical importance of redemption. Yet Ruth never explicitly labels Boaz a messianic type, and the New Testament does not present every action at Bethlehem’s gate as a prediction of the cross. A responsible Christian reading can recognize an analogy between costly kinship responsibility and the wider canonical theme of redemption while acknowledging differences in purpose, legal setting, and saving efficacy. The explicit genealogical link through David and Matthew 1 offers firmer canonical grounding than attempts to assign spiritual equivalents to the sandal, the unnamed redeemer, or every element of the threshing-floor scene.</w:t>
      </w:r>
    </w:p>
    <w:p>
      <w:pPr>
        <w:pStyle w:val="Heading2"/>
      </w:pPr>
      <w:r>
        <w:t>VI. Ruth the Moabite and the Reach of God’s Purposes</w:t>
      </w:r>
    </w:p>
    <w:p>
      <w:r>
        <w:t>Ruth’s repeated identification as a Moabite is crucial to the story. Israel’s historical relationship with Moab was strained, and Deuteronomy 23 raises significant questions about Moabite participation in the assembly of the Lord. The narrative nevertheless portrays Ruth’s allegiance to Naomi and Israel’s God as genuine and repeatedly presents her conduct favorably. Boaz recognizes the sacrifice involved in her departure from her own people and receives her with generosity.</w:t>
      </w:r>
    </w:p>
    <w:p>
      <w:r>
        <w:t>The book does not resolve every historical question concerning the interpretation of Deuteronomy 23 or the precise distinctions between membership in the assembly, marriage, residence, and religious allegiance. Those matters require careful attention rather than an assumption that one passage simply cancels the other. What the narrative clearly establishes is that this particular Moabite woman becomes an honored participant in an Israelite household and an ancestor of David.</w:t>
      </w:r>
    </w:p>
    <w:p>
      <w:r>
        <w:t>The later inclusion of Ruth in Matthew 1:5 gives the narrative a further canonical significance. Her presence in the genealogy of Jesus demonstrates that the messianic ancestry includes a woman identified with a nation historically outside Israel. This should not be treated as a denial of Israel’s covenant history, but as one indication that the purposes of the God of Israel ultimately reach beyond ethnic boundaries. The movement toward the nations is grounded in the unfolding biblical story rather than imported into Ruth as an abstract modern theme.</w:t>
      </w:r>
    </w:p>
    <w:p>
      <w:pPr>
        <w:spacing w:after="160"/>
      </w:pPr>
      <w:r>
        <w:t>Two opposite assumptions commonly shape discussion of Ruth’s ethnicity: that Deuteronomy 23 must have made her marriage unlawful, or that Ruth proves the restriction had no continuing significance. Neither conclusion follows automatically. Deuteronomy 23 speaks of admission to the assembly, a phrase whose precise institutional scope is debated; Ruth depicts marriage and religious allegiance without furnishing a formal ruling on that terminology. Ruth’s confession and her favorable reception deserve full weight, but the unresolved legal questions should remain visible. Explaining the distinction helps readers appreciate the narrative’s inclusion of a Moabite woman without pretending that a difficult passage has disappeared.</w:t>
      </w:r>
    </w:p>
    <w:p>
      <w:pPr>
        <w:pStyle w:val="Heading2"/>
      </w:pPr>
      <w:r>
        <w:t>VII. From Perez to David: The Genealogy as Theological Conclusion</w:t>
      </w:r>
    </w:p>
    <w:p>
      <w:r>
        <w:t>The final genealogy in Ruth 4:18–22 reaches from Perez to David. Its placement is decisive. The narrative’s resolution is not complete merely because Ruth and Boaz marry or because Naomi experiences renewed joy. The genealogy discloses that the child born into this household belongs to a line that will become central to Israel’s national and theological future.</w:t>
      </w:r>
    </w:p>
    <w:p>
      <w:r>
        <w:t>The earlier blessing invoking the household of Perez (Ruth 4:12) prepares for this conclusion and recalls the events surrounding Judah and Tamar in Genesis 38. The connection is significant because both narratives involve a threatened family line, widowhood, and complicated obligations concerning offspring. Yet the stories differ markedly in the conduct of their principal figures and in their legal circumstances. Their relationship is best understood as an intentional narrative and genealogical resonance, not as proof that Judah’s conduct and Boaz’s conduct were governed by precisely the same legal rule.</w:t>
      </w:r>
    </w:p>
    <w:p>
      <w:r>
        <w:t>The genealogy also reminds the reader that the significance of faithfulness may extend beyond the horizon of the people who practice it. Ruth’s care for Naomi, Boaz’s integrity, and the public recognition of their marriage become part of the ancestry of David. The story therefore joins intimate family history to the larger account of Israel’s kingship, and Matthew’s genealogy subsequently locates it within the ancestry of Christ.</w:t>
      </w:r>
    </w:p>
    <w:p>
      <w:pPr>
        <w:spacing w:after="160"/>
      </w:pPr>
      <w:r>
        <w:t>It is also tempting to treat the ten names in Ruth 4:18–22 as a complete chronological ledger from Perez to David. Biblical genealogies, however, can be selective and shaped for literary or theological purposes; the list’s completeness cannot be established from its form alone. The safest conclusion is the one the author foregrounds: the ancestry of David is traced through Perez, Boaz, and Obed. Likewise, the women’s announcement that a son has been born to Naomi expresses her restored place within the family story, but does not itself document a formal adoption or settle every question of Obed’s inheritance rights.</w:t>
      </w:r>
    </w:p>
    <w:p>
      <w:pPr>
        <w:pStyle w:val="Heading2"/>
      </w:pPr>
      <w:r>
        <w:t>VIII. Bethlehem and the Canonical Movement Toward the Messiah</w:t>
      </w:r>
    </w:p>
    <w:p>
      <w:r>
        <w:t>Bethlehem is more than a geographical backdrop. The narrative begins with a household departing from Bethlehem during famine and ends with a genealogy that identifies the family’s relationship to David. Later biblical texts associate Bethlehem with David’s origins and with expectations concerning a ruler from his line. The New Testament identifies Bethlehem as the place of Jesus’ birth, giving Christian readers a further reason to recognize the town’s place in the long continuity of redemptive history.</w:t>
      </w:r>
    </w:p>
    <w:p>
      <w:r>
        <w:t>This canonical development should not cause us to claim that every event in Ruth was intended as a direct prediction of the nativity. Rather, Bethlehem serves as a concrete location through which the historical continuity of the Davidic family can be traced. The significance of the place grows as Scripture reveals more of the story, while the original events remain intelligible in their own context.</w:t>
      </w:r>
    </w:p>
    <w:p>
      <w:pPr>
        <w:spacing w:after="160"/>
      </w:pPr>
      <w:r>
        <w:t>Because Bethlehem is associated with both David and Jesus, readers sometimes assume that each mention of the town in Ruth functions as a direct prophecy of Christ’s birth. That conclusion confuses a later canonical connection with an explicit prediction in the earlier narrative. Ruth establishes Bethlehem’s place in the family history leading to David; subsequent Scripture develops the royal and messianic significance of that line. Reading the texts in this order preserves the integrity of Ruth’s own narrative and makes the later connection more, rather than less, meaningful.</w:t>
      </w:r>
    </w:p>
    <w:p>
      <w:pPr>
        <w:pStyle w:val="Heading2"/>
      </w:pPr>
      <w:r>
        <w:t>IX. Theological Synthesis: Redemption, Providence, and Faithfulness</w:t>
      </w:r>
    </w:p>
    <w:p>
      <w:r>
        <w:t>Ruth brings together several themes that are often separated in theological discussion. God’s providence does not eliminate human agency; the existence of law does not make moral character unnecessary; the preservation of a family’s inheritance is both a practical social concern and a matter of covenant continuity; and the incorporation of Ruth into an Israelite household becomes part of a larger history that culminates in the Davidic and messianic lines.</w:t>
      </w:r>
    </w:p>
    <w:p>
      <w:r>
        <w:t>The study of Ruth therefore calls for both historical restraint and theological attentiveness. Historical restraint prevents us from treating the kinsman-redeemer, levirate marriage, and daughters’ inheritance as a single undifferentiated law. It prevents us from declaring with certainty what the text leaves unresolved concerning Ruth 4:5 or the precise rights of Naomi and Ruth. Theological attentiveness, meanwhile, enables us to see how covenant loyalty, public integrity, and family restoration participate in the unfolding purposes of God.</w:t>
      </w:r>
    </w:p>
    <w:p>
      <w:r>
        <w:t>For Christian interpretation, the connection to Christ is most persuasive when grounded in the genealogy and the canonical development of redemption, rather than in elaborate allegory. Boaz remains Boaz, Ruth remains Ruth, and their historical decisions matter. The gospel does not require the erasure of their story; it allows the story to be situated within the larger history through which God brought the Messiah into the world.</w:t>
      </w:r>
    </w:p>
    <w:p>
      <w:pPr>
        <w:pStyle w:val="Heading2"/>
      </w:pPr>
      <w:r>
        <w:t>Conclusion: The Faithfulness of God Across Generations</w:t>
      </w:r>
    </w:p>
    <w:p>
      <w:r>
        <w:t>Ruth begins with circumstances that threaten the survival of a household and ends with a child whose descendants will shape the history of Israel. Between those two points lie ordinary decisions marked by grief, courage, generosity, prudence, and fidelity to recognized responsibilities. The narrative portrays no human participant as possessing the complete explanation of God’s purposes, yet its concluding genealogy allows readers to perceive a continuity that the characters could not have anticipated.</w:t>
      </w:r>
    </w:p>
    <w:p>
      <w:r>
        <w:t>The enduring significance of Ruth lies in this combination of particularity and breadth. Its laws are the laws of ancient Israel, its property concerns belong to an ancestral inheritance system, and its family relationships are embedded in the social world of Bethlehem. At the same time, its account of providence and covenant faithfulness reaches into the larger biblical history of David and Jesus Christ. Respecting the words and understanding their world enables us to recognize what the text meant there before asking how its truth speaks here.</w:t>
      </w:r>
    </w:p>
    <w:p>
      <w:r>
        <w:t>The final lesson is not that faithful people can guarantee a favorable outcome by imitating Ruth or Boaz. It is that responsible faithfulness matters even when the future remains hidden, and that the purposes of God may extend far beyond the visible results of any single life. The book closes not by explaining every sorrow but by revealing that the story of one vulnerable family has become part of the larger story of redemption.</w:t>
      </w:r>
    </w:p>
    <w:p>
      <w:pPr>
        <w:pStyle w:val="Heading2"/>
      </w:pPr>
      <w:r>
        <w:t>Scriptural and Editorial Notes</w:t>
      </w:r>
    </w:p>
    <w:p>
      <w:r>
        <w:t>Primary passages: Ruth 1–4; Genesis 38; Leviticus 19:9–10; 25:23–28; Deuteronomy 23:3–6; 24:19–22; 25:5–10; Numbers 27:1–11; 36:1–12; Matthew 1:1–17. Biblical language is paraphrased in this module rather than reproduced as direct verse quotations. Any direct quotations added during the final editorial pass must be verified word for word against the designated NASB 1977 reference edition and italicized according to the established manuscript policy.</w:t>
      </w:r>
      <w:r>
        <w:t xml:space="preserve"> Interpretive explanations explicitly distinguish traditional assumptions from textual claims and evidence. No direct Scripture quotations have been introduced in this revision.</w:t>
      </w:r>
    </w:p>
    <w:p>
      <w:pPr/>
      <w:r>
        <w:rPr>
          <w:sz w:val="16"/>
        </w:rPr>
        <w:t>Scripture quotations taken from the (NASB®) New American Standard Bible®, Copyright © 1960, 1971, 1977 by The Lockman Foundation. Used by permission. All rights reserved. www.Lockman.org</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RUTH  •  MODULE 7  |  WORKING MANUSCRIPT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3"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E354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E354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E354A"/>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