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E63E8" w14:textId="77777777" w:rsidR="009A382E" w:rsidRDefault="00000000">
      <w:pPr>
        <w:pStyle w:val="Title"/>
      </w:pPr>
      <w:r>
        <w:t>Shame and Honor</w:t>
      </w:r>
    </w:p>
    <w:p w14:paraId="3F3B9904" w14:textId="77777777" w:rsidR="009A382E" w:rsidRDefault="00000000">
      <w:pPr>
        <w:pStyle w:val="Subtitle"/>
      </w:pPr>
      <w:r>
        <w:t>Understanding the Cultural World of Scripture and Its Significance for the Believer Today</w:t>
      </w:r>
    </w:p>
    <w:p w14:paraId="6C6A1135" w14:textId="77777777" w:rsidR="009A382E" w:rsidRDefault="00000000">
      <w:pPr>
        <w:pStyle w:val="Heading1"/>
      </w:pPr>
      <w:r>
        <w:t>Module 1 — The World of Honor and Shame</w:t>
      </w:r>
    </w:p>
    <w:p w14:paraId="3C230787" w14:textId="77777777" w:rsidR="009A382E" w:rsidRDefault="00000000">
      <w:pPr>
        <w:pStyle w:val="Heading2"/>
      </w:pPr>
      <w:r>
        <w:t>Learning the Social Language of Scripture</w:t>
      </w:r>
    </w:p>
    <w:p w14:paraId="26E4A7D4" w14:textId="77777777" w:rsidR="009A382E" w:rsidRDefault="00000000">
      <w:r>
        <w:t>An ancient audience did not need a lecture on the importance of public reputation before hearing a dispute in a village gathering, a controversy at a meal, or an accusation directed against a teacher. Such encounters occurred within recognizable social relationships. Family identity, standing among neighbors, the testimony of respected persons, and the conduct expected of someone occupying a particular position all helped determine how an action would be judged. Modern readers can follow the words of these accounts while overlooking the social judgments that made the exchanges consequential. This module seeks to recover those judgments without allowing a cultural reconstruction to replace the actual wording of Scripture.</w:t>
      </w:r>
    </w:p>
    <w:p w14:paraId="2D072511" w14:textId="77777777" w:rsidR="009A382E" w:rsidRDefault="00000000">
      <w:r>
        <w:t>The terms honor and shame describe a cluster of related practices rather than a single, unchanging code. Honor may refer to acknowledged worth, legitimate standing, respect conferred by others, or the recognition appropriate to conduct judged admirable. Shame may describe public disgrace, the loss of standing, or a morally appropriate reluctance to act dishonorably. These meanings overlap, but they are not interchangeable. A reader who assumes that every mention of shame describes inward embarrassment, or that every claim to honor expresses vanity, has already imported conclusions that the historical evidence does not justify.</w:t>
      </w:r>
    </w:p>
    <w:p w14:paraId="0625C7BC" w14:textId="77777777" w:rsidR="009A382E" w:rsidRDefault="00000000">
      <w:pPr>
        <w:pStyle w:val="Heading2"/>
      </w:pPr>
      <w:r>
        <w:t>Honor as Recognized Worth</w:t>
      </w:r>
    </w:p>
    <w:p w14:paraId="726C2081" w14:textId="77777777" w:rsidR="009A382E" w:rsidRDefault="00000000">
      <w:r>
        <w:t>Honor was not simply a favorable opinion that an individual privately held about himself. In many ancient settings it depended on recognition by a relevant audience: family, neighbors, fellow citizens, religious authorities, or patrons. A person might claim a certain standing, but the community could affirm, contest, or withhold recognition. Honor therefore had a relational and public dimension. Its significance is apparent in narratives involving seats at meals, greetings in public places, family lineage, legal testimony, and disputes over authority. The question was often not only what someone had done, but who had the recognized standing to do it and whose judgment would prevail.</w:t>
      </w:r>
    </w:p>
    <w:p w14:paraId="3927F152" w14:textId="77777777" w:rsidR="009A382E" w:rsidRDefault="00000000">
      <w:r>
        <w:t>Modern historians and social scientists commonly distinguish ascribed honor from acquired honor. The terms are analytical categories used to describe ancient evidence, not necessarily labels ancient people themselves used. Ascribed honor refers to standing received through birth, family affiliation, citizenship, ancestry, or an office bestowed by another. Acquired honor refers to recognition gained or defended through conduct, achievement, generosity, fidelity, or public exchanges. This distinction is analytically useful, though real lives did not divide neatly into two compartments. Inherited status could open opportunities to earn recognition; misconduct could compromise inherited standing; and an apparently humble act could be judged honorable by one audience and disgraceful by another. We must ask which audience is evaluating the conduct before describing the outcome.</w:t>
      </w:r>
    </w:p>
    <w:p w14:paraId="4C61A563" w14:textId="77777777" w:rsidR="009A382E" w:rsidRDefault="00000000">
      <w:pPr>
        <w:pStyle w:val="Heading2"/>
      </w:pPr>
      <w:r>
        <w:t>Family, Kinship, and Shared Identity</w:t>
      </w:r>
    </w:p>
    <w:p w14:paraId="5912B58F" w14:textId="77777777" w:rsidR="009A382E" w:rsidRDefault="00000000">
      <w:r>
        <w:t>In societies where households and extended families were central to economic security and social belonging, reputation could attach to a group as well as to an individual. The conduct of one member might affect the perceived standing of relatives, while a family name could confer opportunities or obligations upon its members. Genealogies, marriage arrangements, inheritance, hospitality, and obligations toward parents and elders therefore carried more than private significance. They participated in the public ordering of communal life.</w:t>
      </w:r>
    </w:p>
    <w:p w14:paraId="3DCC0CAF" w14:textId="77777777" w:rsidR="009A382E" w:rsidRDefault="00000000">
      <w:r>
        <w:t>This collective dimension must not be exaggerated into a denial of individual responsibility. Ancient Jewish writings could hold families together in covenantal memory while also insisting that persons answer for their own conduct. Ezekiel 18, for example, contests the assumption that a child must bear the moral guilt of a parent. The historical point is not that ancient persons lacked individual identity, but that individual identity was commonly understood through relationships that modern Western readers may treat as secondary.</w:t>
      </w:r>
    </w:p>
    <w:p w14:paraId="580F7854" w14:textId="77777777" w:rsidR="009A382E" w:rsidRDefault="00000000">
      <w:pPr>
        <w:pStyle w:val="Heading2"/>
      </w:pPr>
      <w:r>
        <w:t>Shame: Disgrace and Moral Restraint</w:t>
      </w:r>
    </w:p>
    <w:p w14:paraId="648817CA" w14:textId="77777777" w:rsidR="009A382E" w:rsidRDefault="00000000">
      <w:r>
        <w:t>English usage often treats shame as a uniformly negative inward experience. Ancient usage was more complex. To be publicly shamed could mean suffering humiliation, dishonor, or exclusion from the esteem of a group. Yet the capacity to feel shame could also be praised when it expressed modesty, restraint, or sensitivity to proper conduct. Conversely, shamelessness could describe an unwillingness to recognize obligations that a community regarded as morally binding. Consequently, the meaning of shame in any passage must be established by its vocabulary, speaker, literary setting, and the conduct being evaluated.</w:t>
      </w:r>
    </w:p>
    <w:p w14:paraId="54058217" w14:textId="77777777" w:rsidR="009A382E" w:rsidRDefault="00000000">
      <w:r>
        <w:t>Neither public approval nor public disgrace automatically determines moral truth. Communities can praise conduct that Scripture condemns and condemn fidelity that Scripture commends. This tension is crucial. The biblical writings do not merely reproduce social conventions; they repeatedly ask whose standards are trustworthy and whether God’s assessment overturns the verdict of a crowd. Such passages cannot be understood adequately by equating honor with popularity or shame with personal insecurity.</w:t>
      </w:r>
    </w:p>
    <w:p w14:paraId="725C80CC" w14:textId="77777777" w:rsidR="009A382E" w:rsidRDefault="00000000">
      <w:pPr>
        <w:pStyle w:val="Heading2"/>
      </w:pPr>
      <w:r>
        <w:t>Public Challenges, Responses, and the Audience</w:t>
      </w:r>
    </w:p>
    <w:p w14:paraId="61C60725" w14:textId="77777777" w:rsidR="009A382E" w:rsidRDefault="00000000">
      <w:r>
        <w:t xml:space="preserve">One influential social-scientific model describes certain public controversies as challenge-and-response exchanges. A question, accusation, or provocative action could place someone’s competence, authority, or standing before witnesses. The response might defend that standing, expose the challenger’s assumptions, or redirect the audience toward another standard of judgment. David deSilva shows how this perspective can illuminate controversies in the Gospels, especially when religious authorities question Jesus before </w:t>
      </w:r>
      <w:r>
        <w:lastRenderedPageBreak/>
        <w:t>onlookers. The surrounding audience matters because the exchange has consequences beyond the private feelings of the participants.</w:t>
      </w:r>
    </w:p>
    <w:p w14:paraId="050D0C28" w14:textId="77777777" w:rsidR="009A382E" w:rsidRDefault="00000000">
      <w:r>
        <w:t>Nevertheless, it would be a serious mistake to classify every question as an honor contest or every conversation as an attempt to diminish another person. Some questions seek instruction; some disagreements concern genuine interpretation; and some public encounters involve care, mercy, or reconciliation rather than competition. The challenge-and-response model is a hypothesis to test against the narrative, not a script imposed upon it. When examining a Gospel episode, we must establish who speaks, what is challenged, how the response works, and what the narrator actually reports about the observers.</w:t>
      </w:r>
    </w:p>
    <w:p w14:paraId="60981BB8" w14:textId="77777777" w:rsidR="009A382E" w:rsidRDefault="00000000">
      <w:pPr>
        <w:pStyle w:val="Heading2"/>
      </w:pPr>
      <w:r>
        <w:t>Patronage, Reciprocity, and Social Obligation</w:t>
      </w:r>
    </w:p>
    <w:p w14:paraId="466C3CBB" w14:textId="77777777" w:rsidR="009A382E" w:rsidRDefault="00000000">
      <w:r>
        <w:t>Honor was closely related to systems of giving, receiving, and obligation. Wealthy or influential persons could provide protection, assistance, or material support; recipients might respond with gratitude, loyalty, public acknowledgment, or service. These relationships varied greatly and could be generous, mutually beneficial, unequal, or exploitative. A gift was not always interpreted as a transaction between autonomous strangers. It could create or express an enduring relationship, and public recognition of the benefactor could itself become an important form of return.</w:t>
      </w:r>
    </w:p>
    <w:p w14:paraId="4162B870" w14:textId="77777777" w:rsidR="009A382E" w:rsidRDefault="00000000">
      <w:r>
        <w:t>This background will become relevant when we study grace, benefaction, and Christian fellowship. Yet we must not simply equate God with a Roman patron or reduce divine grace to an ancient social bargain. The cultural analogy may clarify what a hearer would recognize in the language of giving and gratitude, while the biblical argument determines where that analogy is affirmed, transformed, or exceeded. DeSilva’s integrated treatment of honor, patronage, kinship, and purity is especially valuable because these dimensions of social life intersect rather than operate independently.</w:t>
      </w:r>
    </w:p>
    <w:p w14:paraId="034A66C0" w14:textId="77777777" w:rsidR="009A382E" w:rsidRDefault="00000000">
      <w:pPr>
        <w:pStyle w:val="Heading2"/>
      </w:pPr>
      <w:r>
        <w:t>Social Location and the Limits of a Single Mediterranean Model</w:t>
      </w:r>
    </w:p>
    <w:p w14:paraId="585480DB" w14:textId="77777777" w:rsidR="009A382E" w:rsidRDefault="00000000">
      <w:r>
        <w:t>The eastern Mediterranean was not culturally uniform. Judean villagers, Jerusalem priestly families, Greek-speaking urban residents, Roman officials, enslaved persons, and members of household churches did not occupy the same social positions or interpret every custom identically. Gender, wealth, legal status, religious commitments, local history, and the presence or absence of political power could all alter the meaning of a public encounter. A cultural pattern attested in one setting should not automatically be assigned to every other setting.</w:t>
      </w:r>
    </w:p>
    <w:p w14:paraId="3CE038BD" w14:textId="77777777" w:rsidR="009A382E" w:rsidRDefault="00000000">
      <w:r>
        <w:t xml:space="preserve">Bruce Malina’s work helped biblical scholarship recognize that modern individualistic assumptions could distort interpretation. That contribution remains important. Subsequent scholarship has also challenged the tendency to portray the ancient Mediterranean as a timeless and universally competitive honor culture. Timothy Ling and other critics have argued that such models must be tested against the distinctive evidence of particular communities. We will therefore treat social-scientific categories as interpretive aids rather </w:t>
      </w:r>
      <w:r>
        <w:lastRenderedPageBreak/>
        <w:t>than as independent proof of what a biblical author intended. When a proposed cultural explanation conflicts with the narrative’s own details, the explanation must be revised.</w:t>
      </w:r>
    </w:p>
    <w:p w14:paraId="00ED79B7" w14:textId="77777777" w:rsidR="009A382E" w:rsidRDefault="00000000">
      <w:pPr>
        <w:pStyle w:val="Heading2"/>
      </w:pPr>
      <w:r>
        <w:t>The Hebrew Scriptures and the Problem of Competing Verdicts</w:t>
      </w:r>
    </w:p>
    <w:p w14:paraId="316306CC" w14:textId="77777777" w:rsidR="009A382E" w:rsidRDefault="00000000">
      <w:r>
        <w:t>The biblical story already contains a profound tension between human reputation and divine judgment. The desire to make a name for oneself appears in Genesis 11:4; the Lord’s promise to make Abram’s name great appears in Genesis 12:2. The similarity of language does not erase the difference between self-exaltation and a standing conferred by God. Likewise, the election of David in 1 Samuel 16:7 contrasts outward appearance with the Lord’s assessment of the heart. These texts should not be collapsed into a single cultural formula, but they alert us to a recurring theological question: who has the authority to identify genuine worth?</w:t>
      </w:r>
    </w:p>
    <w:p w14:paraId="3F08851F" w14:textId="77777777" w:rsidR="009A382E" w:rsidRDefault="00000000">
      <w:r>
        <w:t>This question becomes especially significant when an individual experiences rejection or disgrace while remaining faithful to God. The Psalms repeatedly bring public reproach, mockery, and vindication into prayer. In the prophetic writings, Israel’s public humiliation and promised restoration can be expressed through the language of disgrace and renewed honor. We will examine these texts in their own covenantal and literary contexts rather than assuming that all uses of shame have identical meanings.</w:t>
      </w:r>
    </w:p>
    <w:p w14:paraId="44E7C067" w14:textId="77777777" w:rsidR="009A382E" w:rsidRDefault="00000000">
      <w:pPr>
        <w:pStyle w:val="Heading2"/>
      </w:pPr>
      <w:r>
        <w:t>Preparing to Read Jesus and Paul</w:t>
      </w:r>
    </w:p>
    <w:p w14:paraId="09CD122D" w14:textId="77777777" w:rsidR="009A382E" w:rsidRDefault="00000000">
      <w:r>
        <w:t>The public controversies surrounding Jesus often involve competing claims about authority, righteousness, belonging, and the interpretation of God’s will. His association with those who lacked social standing, His warnings about seeking human recognition, and His teaching on humility may be heard with greater precision when we recognize the social stakes of these encounters. Yet the decisive question remains what each Gospel writer presents Jesus as saying and doing. Historical context illuminates the text; it does not supply words or motives that the text has not established.</w:t>
      </w:r>
    </w:p>
    <w:p w14:paraId="1B3F0B43" w14:textId="77777777" w:rsidR="009A382E" w:rsidRDefault="00000000">
      <w:r>
        <w:t>Paul’s letters likewise address communities whose members brought existing assumptions about prestige, citizenship, ancestry, benefaction, and status into their assemblies. In 1 Corinthians 1:26–31, Paul redirects attention from conventional measures of distinction to God’s action in Christ. In Romans 5:5, the relationship between Hope and shame will require close attention to Greek usage, the letter’s argument, and the scriptural background of confidence and vindication. We should not assume in advance that Paul means only the absence of an inward feeling of disappointment, nor should we claim that the verse refers exclusively to public reputation. Both the language and the argument must decide the issue.</w:t>
      </w:r>
    </w:p>
    <w:p w14:paraId="5C9FC4AE" w14:textId="77777777" w:rsidR="009A382E" w:rsidRDefault="00000000">
      <w:pPr>
        <w:pStyle w:val="Heading2"/>
      </w:pPr>
      <w:r>
        <w:t>From Their World to Ours</w:t>
      </w:r>
    </w:p>
    <w:p w14:paraId="78494204" w14:textId="77777777" w:rsidR="009A382E" w:rsidRDefault="00000000">
      <w:r>
        <w:t xml:space="preserve">The purpose of this historical investigation is not to recreate an ancient social code for modern Christians. It is to identify the assumptions that the original audience could recognize, establish how the biblical author employed or challenged those assumptions, and then consider the enduring theological claim. Modern readers live amid reputational </w:t>
      </w:r>
      <w:r>
        <w:lastRenderedPageBreak/>
        <w:t>pressures of their own: professional standing, family expectations, public controversy, and digital approval. These provide points of contact, but they are not identical to the social structures of first-century Judea or Roman cities.</w:t>
      </w:r>
    </w:p>
    <w:p w14:paraId="2D76887E" w14:textId="77777777" w:rsidR="009A382E" w:rsidRDefault="00000000">
      <w:r>
        <w:t>Our governing procedure will therefore remain consistent: respect the words, understand their world, establish what the text meant there, and then ask how its truth speaks here. When this sequence is honored, the cultural background does not compete with exposition. It enables us to hear more clearly what the inspired text communicated to its first audience and to apply that meaning with greater care today.</w:t>
      </w:r>
    </w:p>
    <w:p w14:paraId="375F1920" w14:textId="77777777" w:rsidR="009A382E" w:rsidRDefault="00000000">
      <w:pPr>
        <w:pStyle w:val="Heading2"/>
      </w:pPr>
      <w:r>
        <w:t>Selected Bibliography (SBLHS 2)</w:t>
      </w:r>
    </w:p>
    <w:p>
      <w:pPr>
        <w:spacing w:after="100"/>
        <w:ind w:left="403" w:hanging="403"/>
      </w:pPr>
      <w:r>
        <w:t xml:space="preserve">deSilva, David A. </w:t>
      </w:r>
      <w:r>
        <w:rPr>
          <w:i/>
        </w:rPr>
        <w:t>Honor, Patronage, Kinship, &amp; Purity: Unlocking New Testament Culture</w:t>
      </w:r>
      <w:r>
        <w:t>. 2nd ed. Downers Grove, IL: IVP Academic, 2022.</w:t>
      </w:r>
    </w:p>
    <w:p>
      <w:pPr>
        <w:spacing w:after="100"/>
        <w:ind w:left="403" w:hanging="403"/>
      </w:pPr>
      <w:r>
        <w:t xml:space="preserve">Ling, Timothy J. M. </w:t>
      </w:r>
      <w:r>
        <w:rPr>
          <w:i/>
        </w:rPr>
        <w:t>The Judaean Poor and the Fourth Gospel</w:t>
      </w:r>
      <w:r>
        <w:t>. Cambridge: Cambridge University Press, 2006.</w:t>
      </w:r>
    </w:p>
    <w:p>
      <w:pPr>
        <w:spacing w:after="100"/>
        <w:ind w:left="403" w:hanging="403"/>
      </w:pPr>
      <w:r>
        <w:t xml:space="preserve">Malina, Bruce J. </w:t>
      </w:r>
      <w:r>
        <w:rPr>
          <w:i/>
        </w:rPr>
        <w:t>The New Testament World: Insights from Cultural Anthropology</w:t>
      </w:r>
      <w:r>
        <w:t>. 3rd ed. Louisville: Westminster John Knox, 2001.</w:t>
      </w:r>
    </w:p>
    <w:p>
      <w:pPr>
        <w:spacing w:after="100"/>
        <w:ind w:left="403" w:hanging="403"/>
      </w:pPr>
      <w:r>
        <w:t xml:space="preserve">Patterson, Colin. “The World of Honor and Shame in the New Testament: Alien or Familiar?” </w:t>
      </w:r>
      <w:r>
        <w:rPr>
          <w:i/>
        </w:rPr>
        <w:t>Biblical Theology Bulletin</w:t>
      </w:r>
      <w:r>
        <w:t xml:space="preserve"> 49, no. 1 (2019).</w:t>
      </w:r>
    </w:p>
    <w:p>
      <w:pPr>
        <w:spacing w:before="200"/>
      </w:pPr>
      <w:r>
        <w:t>Scripture references in this module are paraphrased rather than quoted verbatim. The New American Standard Bible (1977) is the designated translation for any direct quotations introduced in a future edition.</w:t>
      </w:r>
    </w:p>
    <w:sectPr w:rsidR="009A382E" w:rsidSect="00034616">
      <w:footerReference w:type="default" r:id="rId8"/>
      <w:headerReference w:type="default" r:id="rId11"/>
      <w:pgSz w:w="12240" w:h="15840"/>
      <w:pgMar w:top="1224" w:right="1800" w:bottom="1080" w:left="1800" w:header="576"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DB008" w14:textId="77777777" w:rsidR="00B520F6" w:rsidRDefault="00B520F6">
      <w:pPr>
        <w:spacing w:after="0" w:line="240" w:lineRule="auto"/>
      </w:pPr>
      <w:r>
        <w:separator/>
      </w:r>
    </w:p>
  </w:endnote>
  <w:endnote w:type="continuationSeparator" w:id="0">
    <w:p w14:paraId="6BA09BC4" w14:textId="77777777" w:rsidR="00B520F6" w:rsidRDefault="00B52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61319" w14:textId="77777777" w:rsidR="009A382E" w:rsidRDefault="00000000">
    <w:pPr>
      <w:pStyle w:val="Footer"/>
      <w:jc w:val="right"/>
    </w:pPr>
    <w:r>
      <w:rPr>
        <w:sz w:val="16"/>
      </w:rPr>
      <w:t>Shame and Honor • Module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FCA19" w14:textId="77777777" w:rsidR="00B520F6" w:rsidRDefault="00B520F6">
      <w:pPr>
        <w:spacing w:after="0" w:line="240" w:lineRule="auto"/>
      </w:pPr>
      <w:r>
        <w:separator/>
      </w:r>
    </w:p>
  </w:footnote>
  <w:footnote w:type="continuationSeparator" w:id="0">
    <w:p w14:paraId="3215B5A8" w14:textId="77777777" w:rsidR="00B520F6" w:rsidRDefault="00B520F6">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6"/>
      </w:rPr>
      <w:t>SHAME AND HONOR  |  DAVID V. LOTT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6851046">
    <w:abstractNumId w:val="8"/>
  </w:num>
  <w:num w:numId="2" w16cid:durableId="1569724255">
    <w:abstractNumId w:val="6"/>
  </w:num>
  <w:num w:numId="3" w16cid:durableId="513156897">
    <w:abstractNumId w:val="5"/>
  </w:num>
  <w:num w:numId="4" w16cid:durableId="840966901">
    <w:abstractNumId w:val="4"/>
  </w:num>
  <w:num w:numId="5" w16cid:durableId="500199497">
    <w:abstractNumId w:val="7"/>
  </w:num>
  <w:num w:numId="6" w16cid:durableId="806629940">
    <w:abstractNumId w:val="3"/>
  </w:num>
  <w:num w:numId="7" w16cid:durableId="1831212700">
    <w:abstractNumId w:val="2"/>
  </w:num>
  <w:num w:numId="8" w16cid:durableId="566769039">
    <w:abstractNumId w:val="1"/>
  </w:num>
  <w:num w:numId="9" w16cid:durableId="521893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343EE"/>
    <w:rsid w:val="00714F17"/>
    <w:rsid w:val="009A382E"/>
    <w:rsid w:val="00AA1D8D"/>
    <w:rsid w:val="00B47730"/>
    <w:rsid w:val="00B520F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6473CC"/>
  <w14:defaultImageDpi w14:val="300"/>
  <w15:docId w15:val="{EBBD4B41-F3D1-42C6-9571-1C58CBBF4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78" w:lineRule="auto"/>
    </w:pPr>
    <w:rPr>
      <w:rFonts w:ascii="Cambria" w:hAnsi="Cambri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3374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33748"/>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2012</Words>
  <Characters>11471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 David V</cp:lastModifiedBy>
  <cp:revision>2</cp:revision>
  <dcterms:created xsi:type="dcterms:W3CDTF">2026-10-20T21:44:00Z</dcterms:created>
  <dcterms:modified xsi:type="dcterms:W3CDTF">2026-10-20T21:44:00Z</dcterms:modified>
  <cp:category/>
</cp:coreProperties>
</file>