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AB219" w14:textId="77777777" w:rsidR="00F24779" w:rsidRDefault="00000000">
      <w:pPr>
        <w:pStyle w:val="Title"/>
      </w:pPr>
      <w:r>
        <w:t>Shame and Honor</w:t>
      </w:r>
    </w:p>
    <w:p w14:paraId="5B7F3D60" w14:textId="77777777" w:rsidR="00F24779" w:rsidRDefault="00000000">
      <w:pPr>
        <w:pStyle w:val="Subtitle"/>
      </w:pPr>
      <w:r>
        <w:t>Module 2 — Honor and Shame in the Old Testament</w:t>
      </w:r>
    </w:p>
    <w:p w14:paraId="3B6272FA" w14:textId="77777777" w:rsidR="00F24779" w:rsidRDefault="00000000">
      <w:pPr>
        <w:pStyle w:val="Subtitle"/>
      </w:pPr>
      <w:r>
        <w:t>From creation and exposed vulnerability to covenant disgrace and divine restoration</w:t>
      </w:r>
    </w:p>
    <w:p w14:paraId="4AE1B843" w14:textId="77777777" w:rsidR="00F24779" w:rsidRDefault="00000000">
      <w:pPr>
        <w:pStyle w:val="Heading1"/>
      </w:pPr>
      <w:r>
        <w:t>The Old Testament Before the Mediterranean Model</w:t>
      </w:r>
    </w:p>
    <w:p w14:paraId="5066BB34" w14:textId="77777777" w:rsidR="00F24779" w:rsidRDefault="00000000">
      <w:r>
        <w:t>If honor and shame provide a helpful way of understanding the social world of the New Testament, their roots must first be examined in Israel’s Scriptures. Yet a methodological caution is necessary. The Old Testament is a collection of texts produced across many centuries, settings, and literary forms. We cannot simply take a reconstructed first-century Mediterranean model and impose it upon Eden, the patriarchal narratives, Israel’s monarchy, and the exilic prophets as though all belonged to one unchanging culture. Instead, we must begin with what each text actually says, then ask what the social setting contributes to its meaning.</w:t>
      </w:r>
    </w:p>
    <w:p w14:paraId="1028A411" w14:textId="77777777" w:rsidR="00F24779" w:rsidRDefault="00000000">
      <w:r>
        <w:t>In these writings honor is not reducible to prestige, and shame is not merely an unpleasant private emotion. Honor can describe the weight or worth accorded to a person, the recognition due to parents or rulers, and above all the glory belonging to the LORD. Shame may involve exposure, humiliation, loss of standing, failed confidence, or the recognition of wrongdoing. The question throughout this module is not whether an honor-shame vocabulary exists—it plainly does—but how Israel’s Scriptures evaluate the judgments of society in light of the character and purposes of God.</w:t>
      </w:r>
    </w:p>
    <w:p w14:paraId="022AE26B" w14:textId="77777777" w:rsidR="00F24779" w:rsidRDefault="00000000">
      <w:pPr>
        <w:pStyle w:val="Heading2"/>
      </w:pPr>
      <w:r/>
      <w:r>
        <w:t>Creation: Dignity Before Reputation</w:t>
      </w:r>
    </w:p>
    <w:p w14:paraId="423CC5DD" w14:textId="77777777" w:rsidR="00F24779" w:rsidRDefault="00000000">
      <w:r>
        <w:t>Genesis begins not with human competition for status but with divine initiative. Humanity is created in God’s image (Genesis 1:26–28), and the dignity of male and female alike rests upon that divine act. This is a status given before either person earns public acclaim, accumulates property, or establishes a family name. We may reasonably describe it as conferred dignity, but the text itself speaks of the image of God rather than deploying the technical categories of later honor-shame analysis.</w:t>
      </w:r>
    </w:p>
    <w:p w14:paraId="307F8276" w14:textId="77777777" w:rsidR="00F24779" w:rsidRDefault="00000000">
      <w:r>
        <w:t>Genesis 2:25 deliberately notes that the man and his wife were naked without experiencing shame. The statement is more than an incidental comment on clothing: it prepares the reader for the profound change narrated in chapter 3. Nevertheless, the text does not specify that nakedness originally represented a lost garment of divine glory or a precise social rank. Such proposals may be explored as interpretations, but they must not be presented as statements made by Moses. The literary contrast is sufficient: before disobedience, the couple experience no shame in their exposure; afterward, they attempt to cover themselves and hide.</w:t>
      </w:r>
    </w:p>
    <w:p w14:paraId="26BCA4D0" w14:textId="77777777" w:rsidR="00F24779" w:rsidRDefault="00000000">
      <w:pPr>
        <w:pStyle w:val="Heading2"/>
      </w:pPr>
      <w:r/>
      <w:r>
        <w:t>The Fall: Exposure, Fear, and the Fracturing of Trust</w:t>
      </w:r>
    </w:p>
    <w:p w14:paraId="2E0B7F07" w14:textId="77777777" w:rsidR="00F24779" w:rsidRDefault="00000000">
      <w:r>
        <w:t>After eating from the forbidden tree, the man and woman recognize their nakedness and fashion coverings (Genesis 3:7). When God approaches, Adam reports fear and concealment (3:10). The narrative explicitly identifies nakedness, fear, hiding, and the effort to avoid exposure; it does not explicitly say in verse 7 that the couple felt shame, although the contrast with 2:25 makes that a strong literary inference. Their disobedience is not merely the loss of a good reputation among neighbors—there are no neighbors in the scene—but the rupture of their relationship with God and with one another.</w:t>
      </w:r>
    </w:p>
    <w:p w14:paraId="0A15039E" w14:textId="77777777" w:rsidR="00F24779" w:rsidRDefault="00000000">
      <w:r>
        <w:t>Notice the shift in responsibility. Adam directs attention to the woman whom God gave him, while the woman identifies the serpent’s deception (3:12–13). Blame becomes a means of self-defense. This resembles later practices of protecting one’s standing by displacing dishonor, yet we must distinguish analogy from historical proof. The passage presents the first human disobedience and its consequences; it does not require us to imagine a fully developed village honor code in the garden.</w:t>
      </w:r>
    </w:p>
    <w:p w14:paraId="6338703B" w14:textId="77777777" w:rsidR="00F24779" w:rsidRDefault="00000000">
      <w:r>
        <w:t>God’s provision of garments in Genesis 3:21 is especially significant. The LORD clothes the very people who attempted to cover themselves. The action demonstrates continuing divine care amid judgment. Some interpreters understand the clothing as an anticipatory picture of atonement; others emphasize protection and the dignity of the human pair outside Eden. The verse itself says that God made garments and clothed them. It does not explicitly identify a sacrificial rite or explain the garments as imputed righteousness. A responsible exposition may discuss later canonical resonances without converting them into the immediate meaning of the verse.</w:t>
      </w:r>
    </w:p>
    <w:p w14:paraId="07366B3E" w14:textId="77777777" w:rsidR="00F24779" w:rsidRDefault="00000000">
      <w:pPr>
        <w:pStyle w:val="Heading2"/>
      </w:pPr>
      <w:r/>
      <w:r>
        <w:t>Noah, Family Standing, and the Duty to Cover</w:t>
      </w:r>
    </w:p>
    <w:p w14:paraId="4DBCDAE7" w14:textId="77777777" w:rsidR="00F24779" w:rsidRDefault="00000000">
      <w:r>
        <w:t>Genesis 9:20–27 moves from the original couple to a family setting in which an exposed father becomes the subject of contrasting responses. Ham sees Noah’s nakedness and tells his brothers; Shem and Japheth walk backward with a garment and cover their father without looking upon him. The narrator intentionally contrasts exposure and disclosure with restraint and covering. Within a family-centered social world, this difference has obvious implications for the father’s dignity and the sons’ conduct.</w:t>
      </w:r>
    </w:p>
    <w:p w14:paraId="61269E4B" w14:textId="77777777" w:rsidR="00F24779" w:rsidRDefault="00000000">
      <w:r>
        <w:t>What exactly Ham did remains disputed. Some readings propose an additional sexual offense by comparison with the idiom of uncovering nakedness in Leviticus 18, while others understand the stated acts of seeing and reporting as the offense. That comparison is disputed because Genesis 9 uses the language of seeing nakedness, not the same explicit description of uncovering nakedness found in those laws. Genesis does not directly describe sexual contact. The brothers’ careful avoidance of looking and their covering of Noah provide strong narrative support for an interpretation centered upon dishonoring exposure, though the narrative's specific curse falls on Canaan rather than Ham, a detail that the exposure-centered interpretation must acknowledge and that continues to invite debate. We should not use a speculative reconstruction to silence the explicit details.</w:t>
      </w:r>
    </w:p>
    <w:p w14:paraId="21937CF0" w14:textId="77777777" w:rsidR="00F24779" w:rsidRDefault="00000000">
      <w:pPr>
        <w:pStyle w:val="Heading2"/>
      </w:pPr>
      <w:r>
        <w:t>Covenant, Family, and Public Reputation</w:t>
      </w:r>
    </w:p>
    <w:p w14:paraId="322CC6ED" w14:textId="77777777" w:rsidR="00F24779" w:rsidRDefault="00000000">
      <w:r>
        <w:t xml:space="preserve">The fifth commandment requires Israel to honor father and mother (Exodus 20:12; Deuteronomy 5:16). Here honor is not an unrestricted endorsement of parental behavior, </w:t>
      </w:r>
      <w:r>
        <w:lastRenderedPageBreak/>
        <w:t>nor simply a demand to preserve appearances. It is a covenant obligation expressed in the ordering of family life. Other laws protect the vulnerable and regulate how neighbors are treated (for example, Leviticus 19:13–18, 32–34). Israel’s social responsibilities therefore cannot be reduced to defending the prestige of the powerful.</w:t>
      </w:r>
    </w:p>
    <w:p w14:paraId="7AD82D5D" w14:textId="77777777" w:rsidR="00F24779" w:rsidRDefault="00000000">
      <w:r>
        <w:t>The law also connects Israel’s public conduct with the holiness of the God whose name the nation bears. Leviticus 19 repeatedly grounds ethical demands in the LORD’s identity. The community’s life is not evaluated solely by whether its members maintain standing with one another; it is measured against God’s revealed character. This is the first major correction to a purely sociological reading of honor: Israel may recognize social rank and family obligation, but divine holiness judges the use and abuse of those relationships.</w:t>
      </w:r>
    </w:p>
    <w:p w14:paraId="52513CA0" w14:textId="77777777" w:rsidR="00F24779" w:rsidRDefault="00000000">
      <w:pPr>
        <w:pStyle w:val="Heading2"/>
      </w:pPr>
      <w:r>
        <w:t>Honor Reversed: Hannah, David, and the Wisdom Tradition</w:t>
      </w:r>
    </w:p>
    <w:p w14:paraId="118F9913" w14:textId="77777777" w:rsidR="00F24779" w:rsidRDefault="00000000">
      <w:r>
        <w:t>Hannah’s song in 1 Samuel 2:1–10 describes the LORD as the One who overturns human expectations, bringing down the mighty and raising the poor. The narrative of David’s selection similarly cautions against confusing visible impressiveness with divine approval (1 Samuel 16:6–13). These passages do not abolish honor; they show that God's choice and evaluation may overturn judgments based on visible strength or established rank. The person society overlooks may be the person God chooses.</w:t>
      </w:r>
    </w:p>
    <w:p w14:paraId="4CF0244D" w14:textId="77777777" w:rsidR="00F24779" w:rsidRDefault="00000000">
      <w:r>
        <w:t>Proverbs speaks positively of honor that accompanies wisdom and humility (Proverbs 3:35; 15:33; 22:4), while also warning against pride and the pursuit of status. Its sayings generally describe moral patterns rather than guaranteeing that righteous conduct always produces immediate public esteem. Job provides the necessary counterweight: a righteous sufferer can lose his former reputation and become the object of scorn (Job 19:13–19; 29–30). His friends repeatedly misread suffering as evidence of wrongdoing. The book exposes the danger of treating public disgrace as a reliable verdict on a person’s standing before God.</w:t>
      </w:r>
    </w:p>
    <w:p w14:paraId="33AD72DE" w14:textId="77777777" w:rsidR="00F24779" w:rsidRDefault="00000000">
      <w:pPr>
        <w:pStyle w:val="Heading2"/>
      </w:pPr>
      <w:r>
        <w:t>The Psalms: Shame, Trust, and Vindication</w:t>
      </w:r>
    </w:p>
    <w:p w14:paraId="201C80C6" w14:textId="77777777" w:rsidR="00F24779" w:rsidRDefault="00000000">
      <w:r>
        <w:t>The Psalms repeatedly place shame within the language of enemies, confidence, public reproach, and appeal to the LORD. Psalm 25:1–3 asks that trust in God not end in humiliation. Psalm 31 joins distress and public contempt to the psalmist’s confidence that God remains a refuge. Psalm 69 describes reproach endured in connection with devotion to God. These are not interchangeable situations: some shame arises from sin, some from hostility, and some from the visible appearance that the faithful have been abandoned.</w:t>
      </w:r>
    </w:p>
    <w:p w14:paraId="0084E268" w14:textId="77777777" w:rsidR="00F24779" w:rsidRDefault="00000000">
      <w:r>
        <w:t>Accordingly, the biblical request not to be put to shame should not be flattened into a modern promise that believers will never feel embarrassed. The issue can be the public failure of confidence in the One who was trusted. The psalmist asks God to vindicate faithfulness when the community’s judgment seems to say the opposite. This vocabulary forms an important background for later passages concerning the believer’s hope, but each later writer’s use of the tradition must be examined in its own context.</w:t>
      </w:r>
    </w:p>
    <w:p w14:paraId="04EE6549" w14:textId="77777777" w:rsidR="00F24779" w:rsidRDefault="00000000">
      <w:pPr>
        <w:pStyle w:val="Heading2"/>
      </w:pPr>
      <w:r>
        <w:lastRenderedPageBreak/>
        <w:t>The Prophets: Disgrace, Exile, and Restoration</w:t>
      </w:r>
    </w:p>
    <w:p w14:paraId="48B04928" w14:textId="77777777" w:rsidR="00F24779" w:rsidRDefault="00000000">
      <w:r>
        <w:t>The prophets employ shame both as a fitting response to covenant infidelity and as a condition inflicted by conquest, displacement, and hostile nations. Jeremiah 6:13–15 condemns leaders who have lost the capacity to blush at wrongdoing. Here the absence of shame is itself morally serious. By contrast, the exilic and restoration oracles speak to people bearing the disgrace of national devastation, including consequences experienced by those who were not personally responsible for every act that brought judgment.</w:t>
      </w:r>
    </w:p>
    <w:p w14:paraId="2DF36C3E" w14:textId="77777777" w:rsidR="00F24779" w:rsidRDefault="00000000">
      <w:r>
        <w:t>Isaiah 54 addresses Zion through the imagery of a woman who has known barrenness, abandonment, and reproach. The promise of restoration reverses a condition that carried both personal sorrow and social humiliation (Isaiah 54:1–8). The passage does not merely announce that the people will feel better about themselves. It announces that God will act on behalf of His covenant people, changing their condition and the meaning of their apparent abandonment. The prophetic hope thus rests in divine faithfulness rather than the fluctuating verdict of surrounding nations.</w:t>
      </w:r>
    </w:p>
    <w:p w14:paraId="6E8C3F8B" w14:textId="77777777" w:rsidR="00F24779" w:rsidRDefault="00000000">
      <w:r>
        <w:t>Ezekiel 36:16–32 adds a further dimension. Israel’s conduct has profaned the LORD’s name among the nations, and God promises to act for the sake of His holy name, cleansing and renewing His people. Divine concern for His name must not be misconstrued as human vanity. The text connects God’s public reputation with His holiness, faithfulness, and power to restore. Honor language here serves theology, not the other way around.</w:t>
      </w:r>
    </w:p>
    <w:p w14:paraId="156E9A1B" w14:textId="77777777" w:rsidR="00F24779" w:rsidRDefault="00000000">
      <w:pPr>
        <w:pStyle w:val="Heading2"/>
      </w:pPr>
      <w:r>
        <w:t>What the Old Testament Establishes—and What It Does Not</w:t>
      </w:r>
    </w:p>
    <w:p w14:paraId="4F1AB2C8" w14:textId="77777777" w:rsidR="00F24779" w:rsidRDefault="00000000">
      <w:r>
        <w:t>Across these texts a coherent pattern emerges. Human dignity originates in God’s creative action. Human disobedience introduces fear, exposure, and broken relationships. Families and communities possess real obligations to honor one another, but their judgments are neither infallible nor final. The righteous may suffer disgrace, while the arrogant may enjoy public esteem. The prophets insist that God can expose wrongdoing, judge His people, and yet restore those whose condition appears hopeless.</w:t>
      </w:r>
    </w:p>
    <w:p w14:paraId="4E498C9B" w14:textId="77777777" w:rsidR="00F24779" w:rsidRDefault="00000000">
      <w:r>
        <w:t>This pattern does not mean that every biblical use of shame is a technical reference to the same cultural mechanism. Nor does it mean that the Old Testament treats all shame as bad: appropriate recognition of wrongdoing can be morally necessary, while undeserved humiliation can be a profound injustice. The decisive question is whether a judgment accords with God’s truth. The Old Testament thus supplies the theological foundation for understanding why the New Testament can portray the apparently dishonored Messiah as the One whom God vindicates.</w:t>
      </w:r>
    </w:p>
    <w:p w14:paraId="76A3EA00" w14:textId="77777777" w:rsidR="00F24779" w:rsidRDefault="00000000">
      <w:pPr>
        <w:pStyle w:val="Heading2"/>
      </w:pPr>
      <w:r>
        <w:t>Implications for Reading Scripture Today</w:t>
      </w:r>
    </w:p>
    <w:p w14:paraId="0954FE16" w14:textId="77777777" w:rsidR="00F24779" w:rsidRDefault="00000000">
      <w:r>
        <w:t xml:space="preserve">Modern readers commonly approach shame as an internal emotion, while ancient texts may emphasize exposure before others, damaged family standing, or a failed claim to trust. Recognizing these dimensions allows us to hear the force of a psalmist’s appeal for vindication or a prophet’s promise of restored dignity without substituting contemporary </w:t>
      </w:r>
      <w:r>
        <w:lastRenderedPageBreak/>
        <w:t>assumptions for the author’s concerns. At the same time, the Old Testament refuses to make communal approval the final measure of righteousness.</w:t>
      </w:r>
    </w:p>
    <w:p w14:paraId="1CA43DAE" w14:textId="77777777" w:rsidR="00F24779" w:rsidRDefault="00000000">
      <w:r>
        <w:t>This matters especially when a congregation confuses social success with God’s favor or public disgrace with divine condemnation. Job warns against that equation, Hannah celebrates its reversal, and Isaiah places restoration in the hands of the LORD. The Christian application must be drawn from the actual argument of each passage, not from a general claim that honor-shame culture explains everything. Our next module will ask how these scriptural themes were heard and reshaped within the diverse Jewish communities of the Second Temple period.</w:t>
      </w:r>
    </w:p>
    <w:p w14:paraId="63DEEBB7" w14:textId="77777777" w:rsidR="00F24779" w:rsidRDefault="00000000">
      <w:pPr>
        <w:pStyle w:val="Heading2"/>
      </w:pPr>
      <w:r>
        <w:t>Selected Bibliography (SBLHS 2)</w:t>
      </w:r>
    </w:p>
    <w:p>
      <w:pPr>
        <w:spacing w:after="100"/>
        <w:ind w:left="403" w:hanging="403"/>
      </w:pPr>
      <w:r>
        <w:t xml:space="preserve">deSilva, David A. </w:t>
      </w:r>
      <w:r>
        <w:rPr>
          <w:i/>
        </w:rPr>
        <w:t>Honor, Patronage, Kinship, &amp; Purity: Unlocking New Testament Culture</w:t>
      </w:r>
      <w:r>
        <w:t>. 2nd ed. Downers Grove, IL: IVP Academic, 2022.</w:t>
      </w:r>
    </w:p>
    <w:p>
      <w:pPr>
        <w:spacing w:after="100"/>
        <w:ind w:left="403" w:hanging="403"/>
      </w:pPr>
      <w:r>
        <w:t xml:space="preserve">Hamilton, Victor P. </w:t>
      </w:r>
      <w:r>
        <w:rPr>
          <w:i/>
        </w:rPr>
        <w:t>The Book of Genesis: Chapters 1–17</w:t>
      </w:r>
      <w:r>
        <w:t>. NICOT. Grand Rapids: Eerdmans, 1990.</w:t>
      </w:r>
    </w:p>
    <w:p>
      <w:pPr>
        <w:spacing w:after="100"/>
        <w:ind w:left="403" w:hanging="403"/>
      </w:pPr>
      <w:r>
        <w:t xml:space="preserve">Neufeld, Dietmar. “The Rhetoric of Body, Clothing and Identity in the Vita and Genesis.” </w:t>
      </w:r>
      <w:r>
        <w:rPr>
          <w:i/>
        </w:rPr>
        <w:t>Scriptura</w:t>
      </w:r>
      <w:r>
        <w:t xml:space="preserve"> 90 (2005): 679–84.</w:t>
      </w:r>
    </w:p>
    <w:p>
      <w:pPr>
        <w:spacing w:after="100"/>
        <w:ind w:left="403" w:hanging="403"/>
      </w:pPr>
      <w:r>
        <w:t xml:space="preserve">Wenham, Gordon J. </w:t>
      </w:r>
      <w:r>
        <w:rPr>
          <w:i/>
        </w:rPr>
        <w:t>Genesis 1–15</w:t>
      </w:r>
      <w:r>
        <w:t>. WBC 1. Waco, TX: Word Books, 1987.</w:t>
      </w:r>
    </w:p>
    <w:p>
      <w:pPr>
        <w:spacing w:after="100"/>
        <w:ind w:left="403" w:hanging="403"/>
      </w:pPr>
      <w:r>
        <w:t xml:space="preserve">Westermann, Claus. </w:t>
      </w:r>
      <w:r>
        <w:rPr>
          <w:i/>
        </w:rPr>
        <w:t>Genesis 1–11: A Commentary</w:t>
      </w:r>
      <w:r>
        <w:t>. Translated by John J. Scullion. Minneapolis: Augsburg, 1984.</w:t>
      </w:r>
    </w:p>
    <w:p>
      <w:pPr>
        <w:spacing w:before="200"/>
      </w:pPr>
      <w:r>
        <w:t>Scripture references in this module are paraphrased rather than quoted verbatim. The New American Standard Bible (1977) is the designated translation for any direct quotations introduced in a future edition.</w:t>
      </w:r>
    </w:p>
    <w:sectPr w:rsidR="00F24779" w:rsidSect="00034616">
      <w:headerReference w:type="default" r:id="rId8"/>
      <w:footerReference w:type="default" r:id="rId9"/>
      <w:pgSz w:w="12240" w:h="15840"/>
      <w:pgMar w:top="1152"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3DFCB" w14:textId="77777777" w:rsidR="00EB07C2" w:rsidRDefault="00EB07C2">
      <w:pPr>
        <w:spacing w:after="0" w:line="240" w:lineRule="auto"/>
      </w:pPr>
      <w:r>
        <w:separator/>
      </w:r>
    </w:p>
  </w:endnote>
  <w:endnote w:type="continuationSeparator" w:id="0">
    <w:p w14:paraId="3882AC17" w14:textId="77777777" w:rsidR="00EB07C2" w:rsidRDefault="00EB0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D34C9" w14:textId="77777777" w:rsidR="00F24779" w:rsidRDefault="00000000">
    <w:pPr>
      <w:pStyle w:val="Footer"/>
      <w:jc w:val="right"/>
    </w:pPr>
    <w:r>
      <w:rPr>
        <w:sz w:val="16"/>
      </w:rPr>
      <w:t>Shame and Honor • Module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D3CB5" w14:textId="77777777" w:rsidR="00EB07C2" w:rsidRDefault="00EB07C2">
      <w:pPr>
        <w:spacing w:after="0" w:line="240" w:lineRule="auto"/>
      </w:pPr>
      <w:r>
        <w:separator/>
      </w:r>
    </w:p>
  </w:footnote>
  <w:footnote w:type="continuationSeparator" w:id="0">
    <w:p w14:paraId="76A85048" w14:textId="77777777" w:rsidR="00EB07C2" w:rsidRDefault="00EB0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9EAA5" w14:textId="77777777" w:rsidR="00F24779" w:rsidRDefault="00000000">
    <w:pPr>
      <w:jc w:val="right"/>
    </w:pPr>
    <w:r>
      <w:rPr>
        <w:sz w:val="16"/>
      </w:rPr>
      <w:t>SHAME AND HONOR  |  DAVID V. LOTT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0990836">
    <w:abstractNumId w:val="8"/>
  </w:num>
  <w:num w:numId="2" w16cid:durableId="2084451314">
    <w:abstractNumId w:val="6"/>
  </w:num>
  <w:num w:numId="3" w16cid:durableId="1566256100">
    <w:abstractNumId w:val="5"/>
  </w:num>
  <w:num w:numId="4" w16cid:durableId="1369725426">
    <w:abstractNumId w:val="4"/>
  </w:num>
  <w:num w:numId="5" w16cid:durableId="733044281">
    <w:abstractNumId w:val="7"/>
  </w:num>
  <w:num w:numId="6" w16cid:durableId="110786276">
    <w:abstractNumId w:val="3"/>
  </w:num>
  <w:num w:numId="7" w16cid:durableId="1220937962">
    <w:abstractNumId w:val="2"/>
  </w:num>
  <w:num w:numId="8" w16cid:durableId="197788717">
    <w:abstractNumId w:val="1"/>
  </w:num>
  <w:num w:numId="9" w16cid:durableId="2098867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CB0664"/>
    <w:rsid w:val="00EB07C2"/>
    <w:rsid w:val="00EE03C6"/>
    <w:rsid w:val="00F24779"/>
    <w:rsid w:val="00F267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AA423B"/>
  <w14:defaultImageDpi w14:val="300"/>
  <w15:docId w15:val="{47B64A87-20E5-49F8-A213-65B9DCD76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Cambria" w:hAnsi="Cambri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D3B53"/>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2054</Words>
  <Characters>11713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Lott, David V</cp:lastModifiedBy>
  <cp:revision>2</cp:revision>
  <dcterms:created xsi:type="dcterms:W3CDTF">2026-10-20T22:09:00Z</dcterms:created>
  <dcterms:modified xsi:type="dcterms:W3CDTF">2026-10-20T22:09:00Z</dcterms:modified>
  <cp:category/>
</cp:coreProperties>
</file>