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BB7DF" w14:textId="77777777" w:rsidR="00F5446F" w:rsidRDefault="00000000">
      <w:pPr>
        <w:pStyle w:val="Subtitle"/>
      </w:pPr>
      <w:r>
        <w:t>MODULE 3</w:t>
      </w:r>
    </w:p>
    <w:p w14:paraId="5E0991B2" w14:textId="77777777" w:rsidR="00F5446F" w:rsidRDefault="00000000">
      <w:pPr>
        <w:pStyle w:val="Title"/>
      </w:pPr>
      <w:r>
        <w:t>Honor and Shame in Second Temple Judaism</w:t>
      </w:r>
    </w:p>
    <w:p w14:paraId="30272F88" w14:textId="77777777" w:rsidR="00F5446F" w:rsidRDefault="00000000">
      <w:pPr>
        <w:pStyle w:val="Subtitle"/>
      </w:pPr>
      <w:r>
        <w:t>How ancestry, covenant identity, purity, status, and public recognition shaped the world of Jesus</w:t>
      </w:r>
    </w:p>
    <w:p w14:paraId="6A575463" w14:textId="77777777" w:rsidR="00F5446F" w:rsidRDefault="00000000">
      <w:pPr>
        <w:pStyle w:val="Heading1"/>
      </w:pPr>
      <w:r>
        <w:t>The Question Behind the Gospels</w:t>
      </w:r>
    </w:p>
    <w:p w14:paraId="334D4DF4" w14:textId="77777777" w:rsidR="00F5446F" w:rsidRDefault="00000000">
      <w:r>
        <w:t>When the Gospels describe a dispute over Sabbath observance, a contested meal, a challenge to Jesus’ authority, or a question about whose company is acceptable, modern readers may hear primarily a disagreement over doctrine or personal morality. Those dimensions are present, but they are not always sufficient. The disputes unfolded among people for whom religious faithfulness, family standing, communal boundaries, and public recognition were closely connected. An accusation could do more than challenge an argument; it could threaten a person’s credibility before neighbors and, in some settings, call into question whether that person was acting as a faithful member of Israel. To understand these encounters, we must first reconstruct their world rather than assume that our own patterns of private belief and individual identity were theirs.</w:t>
      </w:r>
    </w:p>
    <w:p w14:paraId="37B46A60" w14:textId="77777777" w:rsidR="00F5446F" w:rsidRDefault="00000000">
      <w:r>
        <w:t>The designation “Second Temple Judaism” covers a long and varied period, commonly reckoned from the completion of the rebuilt Jerusalem temple around 516/515 BC until its destruction by Roman forces in AD 70. The broader Persian-period restoration began earlier, following the Babylonian exile. It does not name a single social system or a uniform set of beliefs. Jews lived in Judea, Galilee, and the diaspora; they differed in wealth, language, political circumstances, interpretations of the law, and approaches to Gentile rule. The honor-shame dimension is therefore a useful question to bring to the evidence, not a formula that can explain every Jewish action or every disagreement in the New Testament.</w:t>
      </w:r>
    </w:p>
    <w:p w14:paraId="1F61AB76" w14:textId="77777777" w:rsidR="00F5446F" w:rsidRDefault="00000000">
      <w:pPr>
        <w:pStyle w:val="Heading2"/>
      </w:pPr>
      <w:r>
        <w:t>Covenant Identity and Inherited Standing</w:t>
      </w:r>
    </w:p>
    <w:p w14:paraId="00FB8565" w14:textId="77777777" w:rsidR="00F5446F" w:rsidRDefault="00000000">
      <w:r>
        <w:t>In ancient Israel and among many Jews of the Second Temple period, ancestry could carry profound social and religious meaning. Membership in the people of Israel involved a remembered history of divine election, covenant obligations, and inherited promises. Genealogies, tribal associations, and descent from priestly families could affect recognized roles and privileges. The biblical records themselves show that family descent mattered in particular institutional settings, especially where priestly service was concerned (Ezra 2:61–63; Nehemiah 7:63–65). Yet the existence of such concerns does not mean that every Jew measured personal worth by genealogy, nor that ancestry alone was thought sufficient for covenant faithfulness.</w:t>
      </w:r>
    </w:p>
    <w:p w14:paraId="4C3917A8" w14:textId="77777777" w:rsidR="00F5446F" w:rsidRDefault="00000000">
      <w:r>
        <w:t>One important distinction is between the honor attached to belonging to Israel and the honor claimed through particular offices or social relationships. A priestly family, an influential household, and a poor agricultural family could all understand themselves as members of God’s people while occupying markedly different positions in the local social order. That distinction helps explain why claims about descent, covenant membership, and true obedience could become so consequential. John the Baptist’s warning against relying upon Abrahamic descent (Matthew 3:7–10; Luke 3:7–9) makes sense against the background of the real significance of ancestral identity, but his warning also refuses to treat inherited status as a substitute for repentance.</w:t>
      </w:r>
    </w:p>
    <w:p w14:paraId="454D6911" w14:textId="77777777" w:rsidR="00F5446F" w:rsidRDefault="00000000">
      <w:pPr>
        <w:pStyle w:val="Heading2"/>
      </w:pPr>
      <w:r>
        <w:t>The Temple, Priesthood, and Sacred Reputation</w:t>
      </w:r>
    </w:p>
    <w:p w14:paraId="45C478BB" w14:textId="77777777" w:rsidR="00F5446F" w:rsidRDefault="00000000">
      <w:r>
        <w:t xml:space="preserve">The Jerusalem temple was not merely a religious building. It was the symbolic center of Israel’s worship and an important site of priestly authority, pilgrimage, economic activity, and collective identity. Its </w:t>
      </w:r>
      <w:r>
        <w:lastRenderedPageBreak/>
        <w:t>holiness required ordered access, priestly service, and practices intended to distinguish sacred from common. In such a setting, honor was inseparable from the public question of who could properly serve, approach, teach, or represent the community. The temple’s significance also extended beyond Judea: Jews in distant communities could orient prayer, pilgrimage, and gifts toward Jerusalem even while living under different local institutions.</w:t>
      </w:r>
    </w:p>
    <w:p w14:paraId="1D5889AF" w14:textId="77777777" w:rsidR="00F5446F" w:rsidRDefault="00000000">
      <w:r>
        <w:t>It would nevertheless be a mistake to equate temple purity with social prestige or to assume that ritual impurity necessarily meant moral disgrace. The Torah treats many forms of impurity as ordinary conditions of embodied life, addressed through specified procedures rather than as evidence of personal sin (Leviticus 12; 15; Numbers 19). Some conditions did result in temporary restrictions on participation, and violations of sacred boundaries could carry grave consequences. The interpretive task is to ask, in each passage, whether the issue concerns ritual condition, moral wrongdoing, social exclusion, or some combination of these. Failure to distinguish them can turn the healing narratives into caricatures of Jewish practice rather than careful accounts of Jesus’ actions.</w:t>
      </w:r>
    </w:p>
    <w:p w14:paraId="68A6B9B1" w14:textId="77777777" w:rsidR="00F5446F" w:rsidRDefault="00000000">
      <w:pPr>
        <w:pStyle w:val="Heading2"/>
      </w:pPr>
      <w:r>
        <w:t>Purity, Meals, and the Boundaries of Fellowship</w:t>
      </w:r>
    </w:p>
    <w:p w14:paraId="5F2EA134" w14:textId="77777777" w:rsidR="00F5446F" w:rsidRDefault="00000000">
      <w:r>
        <w:t>Meals communicated belonging. Who was invited, who reclined in a place of distinction, whose food was acceptable, and whose table one entered could express friendship, hierarchy, reciprocity, and communal boundaries. Some Jews extended purity concerns into ordinary eating practices; others did not apply those concerns in the same manner. Archaeological evidence of stepped immersion installations and chalkstone vessels, together with literary discussions of purity, demonstrates the importance of purity-related practices in some first-century Jewish settings. Not every stepped pool can be identified with certainty as a ritual bath, and the presence of stone vessels does not prove that every user observed identical purity rules. The distribution and meaning of these finds must be examined locally rather than generalized to every household.</w:t>
      </w:r>
    </w:p>
    <w:p w14:paraId="1AEB22EE" w14:textId="77777777" w:rsidR="00F5446F" w:rsidRDefault="00000000">
      <w:r>
        <w:t>This helps illuminate why Jesus’ table fellowship could attract scrutiny (Mark 2:15–17; Luke 5:29–32; 15:1–2). The controversy was not simply that He shared food with people of modest means. The Gospel narratives identify particular associates as tax collectors and sinners, categories that could imply contested moral or communal standing. Jesus’ answer addresses the purpose of His mission rather than denying that repentance matters. Similarly, Mark 7:1–23 identifies a dispute about handwashing before meals and inherited tradition. Jesus' subsequent teaching about defilement reaches beyond the immediate custom; the narrator's explanatory comment in verse 19 has been interpreted in relation to the status of foods, and the scope of that conclusion should be discussed in its literary setting rather than reduced to a rejection of all Jewish purity practice. It is not evidence that all Jews were concerned only with outward appearances, nor does it erase the distinction between the Torah’s purity regulations and later interpretations of them.</w:t>
      </w:r>
    </w:p>
    <w:p w14:paraId="49A7D289" w14:textId="77777777" w:rsidR="00F5446F" w:rsidRDefault="00000000">
      <w:pPr>
        <w:pStyle w:val="Heading2"/>
      </w:pPr>
      <w:r>
        <w:t>Public Teaching, Reputation, and Disputed Authority</w:t>
      </w:r>
    </w:p>
    <w:p w14:paraId="4644B5F3" w14:textId="77777777" w:rsidR="00F5446F" w:rsidRDefault="00000000">
      <w:r>
        <w:t>Honor in this world could be inherited, but it could also be asserted or contested through conduct, learning, recognized piety, and public argument. A teacher’s credibility was not determined solely by the logical quality of an interpretation. People also asked who had authorized him, what tradition he represented, and whether his conduct confirmed his claims. Questions about authority in the temple (Mark 11:27–33) therefore concern more than abstract credentials: they occur in a public setting where competing judgments about legitimacy are exposed before witnesses.</w:t>
      </w:r>
    </w:p>
    <w:p w14:paraId="5504FF7F" w14:textId="77777777" w:rsidR="00F5446F" w:rsidRDefault="00000000">
      <w:r>
        <w:t>Public exchanges in the Gospels sometimes resemble what modern social historians call challenge-and-response interactions, in which an accusation or question tests a person’s standing before an audience. The category can illuminate the structure of some encounters, especially when an attempted trap is answered by a counterquestion. Yet it must remain an analytical description, not a claim that every question addressed to Jesus was hostile or that ancient conversation followed a fixed honor contest. The text itself must establish the intention of the speakers, the setting, and the response.</w:t>
      </w:r>
    </w:p>
    <w:p w14:paraId="3BCA8B45" w14:textId="77777777" w:rsidR="00F5446F" w:rsidRDefault="00000000">
      <w:pPr>
        <w:pStyle w:val="Heading2"/>
      </w:pPr>
      <w:r>
        <w:lastRenderedPageBreak/>
        <w:t>Pharisees, Sadducees, Scribes, and the Problem of Generalization</w:t>
      </w:r>
    </w:p>
    <w:p w14:paraId="644DB1A0" w14:textId="77777777" w:rsidR="00F5446F" w:rsidRDefault="00000000">
      <w:r>
        <w:t>The New Testament names groups and roles whose perspectives sometimes overlapped and sometimes diverged. The Pharisees were associated with particular interpretations of ancestral traditions and law; the Sadducees are represented in ancient sources as differing on significant theological and legal questions; scribes were specialists in texts and legal learning rather than necessarily members of one party. Josephus describes Pharisees, Sadducees, and Essenes in terms accessible to a Greco-Roman readership (Jewish Antiquities 18.11–25), but his philosophical classification is an authorial presentation, not an exhaustive census of Jewish identities. His testimony should be compared critically with other ancient sources; the scribes, moreover, were a professional or learned role rather than simply a fourth parallel sect.</w:t>
      </w:r>
    </w:p>
    <w:p w14:paraId="13A445FB" w14:textId="77777777" w:rsidR="00F5446F" w:rsidRDefault="00000000">
      <w:r>
        <w:t>We must resist two opposite errors. One is to assume that these groups were identical, universally powerful, or motivated by a single desire for prestige. The other is to ignore the way public authority and communal recognition could become entangled with sincerely held religious convictions. Some disputes with Jesus involved real interpretive disagreements, and the Gospel authors sometimes also identify the desire for human approval as a moral problem (John 5:44; 12:42–43). Where the text makes that criticism, we should preserve it; where it does not, we should not supply it automatically. Nor should criticism of particular leaders be converted into a condemnation of Judaism or of the Jewish people as a whole. Jesus, His first disciples, and Paul all belong within the Jewish world we are studying.</w:t>
      </w:r>
    </w:p>
    <w:p w14:paraId="201D7585" w14:textId="77777777" w:rsidR="00F5446F" w:rsidRDefault="00000000">
      <w:pPr>
        <w:pStyle w:val="Heading2"/>
      </w:pPr>
      <w:r>
        <w:t>The Witness of Jewish Literature</w:t>
      </w:r>
    </w:p>
    <w:p w14:paraId="25321FCC" w14:textId="77777777" w:rsidR="00F5446F" w:rsidRDefault="00000000">
      <w:r>
        <w:t>Jewish writings beyond the Hebrew Bible provide valuable evidence for the language and moral imagination of this period. Ben Sira, usually dated to the early second century BC, speaks repeatedly about the honor due to parents, the relationship between wisdom and public esteem, and the dangers of disgrace (Sirach 3:1–16; 10:19–24). These passages do not prove that all Jews agreed with Ben Sira, but they show that honor could be treated as a serious ethical matter rather than mere vanity. First Maccabees presents fidelity to ancestral law under pressure from foreign power as a question of communal loyalty and religious courage (1 Maccabees 2:19–22). In that narrative, refusing the honors offered by rulers may itself become an honorable act.</w:t>
      </w:r>
    </w:p>
    <w:p w14:paraId="0EFA9C98" w14:textId="77777777" w:rsidR="00F5446F" w:rsidRDefault="00000000">
      <w:r>
        <w:t>Later rabbinic literature can also be illuminating, but it requires chronological discipline. The Mishnah was compiled well after the ministry of Jesus. A saying preserved there may reflect earlier practices, but it cannot be used without argument as a verbatim window into Galilean life in the AD 20s or 30s. The same caution applies to modern descriptions of “Mediterranean culture.” Responsible reconstruction works from dated texts, material evidence, and identifiable social settings toward qualified conclusions, rather than treating a later or distant parallel as direct proof.</w:t>
      </w:r>
    </w:p>
    <w:p w14:paraId="3F5631A2" w14:textId="77777777" w:rsidR="00F5446F" w:rsidRDefault="00000000">
      <w:pPr>
        <w:pStyle w:val="Heading2"/>
      </w:pPr>
      <w:r>
        <w:t>The Poor, the Marginalized, and the Limits of Public Judgment</w:t>
      </w:r>
    </w:p>
    <w:p w14:paraId="68BAF974" w14:textId="77777777" w:rsidR="00F5446F" w:rsidRDefault="00000000">
      <w:r>
        <w:t>Honor was not distributed equally. Wealth, family connections, gender, occupation, bodily condition, and access to influential patrons could affect how people were treated, although the effects varied across communities and circumstances. The poor could be overlooked, and some forms of illness or disability could be interpreted by observers through assumptions about sin, divine judgment, or social standing. John 9:1–3 provides a particularly clear example of an assumption Jesus rejects: the disciples’ question seeks a causal link between a man’s blindness and someone’s sin, but Jesus refuses their proposed alternatives.</w:t>
      </w:r>
    </w:p>
    <w:p w14:paraId="6800BCAB" w14:textId="77777777" w:rsidR="00F5446F" w:rsidRDefault="00000000">
      <w:r>
        <w:t xml:space="preserve">We must be equally careful not to romanticize the ancient world as though every marginalized person was uniformly dishonored, or to suggest that Jewish Scripture lacked resources for defending the vulnerable. The law and prophets repeatedly command justice for the poor, the widow, the orphan, and the resident foreigner (Deuteronomy 10:17–19; Isaiah 1:16–17; Zechariah 7:9–10). Jesus’ actions should be </w:t>
      </w:r>
      <w:r>
        <w:lastRenderedPageBreak/>
        <w:t>understood both within this inherited moral world and as a penetrating exposure of failures to live according to it. His ministry does not simply replace a supposedly dishonorable Judaism with an honorable Christianity.</w:t>
      </w:r>
    </w:p>
    <w:p w14:paraId="7F52CAAD" w14:textId="77777777" w:rsidR="00F5446F" w:rsidRDefault="00000000">
      <w:pPr>
        <w:pStyle w:val="Heading2"/>
      </w:pPr>
      <w:r>
        <w:t>Honor Before God and Honor Before People</w:t>
      </w:r>
    </w:p>
    <w:p w14:paraId="263657E5" w14:textId="77777777" w:rsidR="00F5446F" w:rsidRDefault="00000000">
      <w:r>
        <w:t>The most important interpretive tension is not that ancient Jews cared about honor while Jesus did not. Biblical faith itself speaks of honoring parents, respecting others, and glorifying God. The tension concerns the source, object, and measure of honor. Human recognition can correspond to genuine faithfulness, but it can also reward wealth, influence, conformity, or public performance. Divine approval may therefore stand against the verdict of a crowd or the judgment of respected leaders. The distinction is visible already in Israel’s Scriptures and becomes sharply focused in Jesus’ teaching.</w:t>
      </w:r>
    </w:p>
    <w:p w14:paraId="0DD6A836" w14:textId="77777777" w:rsidR="00F5446F" w:rsidRDefault="00000000">
      <w:r>
        <w:t>When Jesus criticizes those who seek prominent seats and public greetings (Mark 12:38–40; Luke 20:45–47), the issue is not that recognition is always wrong. It is the pursuit of status through religious display, especially when accompanied by injustice. His teaching about places of honor at a banquet (Luke 14:7–11) likewise draws upon familiar social practices in order to expose the danger of self-exaltation. These passages are not fully understood by replacing “honor” with modern self-esteem. They concern actual patterns of public rank and recognition, which Jesus redirects toward humility and God’s judgment.</w:t>
      </w:r>
    </w:p>
    <w:p w14:paraId="7EFFE60C" w14:textId="77777777" w:rsidR="00F5446F" w:rsidRDefault="00000000">
      <w:pPr>
        <w:pStyle w:val="Heading2"/>
      </w:pPr>
      <w:r>
        <w:t>What This Background Changes for Our Reading</w:t>
      </w:r>
    </w:p>
    <w:p w14:paraId="3A2950AC" w14:textId="77777777" w:rsidR="00F5446F" w:rsidRDefault="00000000">
      <w:r>
        <w:t>With this cultural framework in view, Gospel disputes become more intelligible without becoming simpler. A Sabbath controversy can involve both an interpretation of lawful conduct and a public question about who has authority to define faithfulness. A healing can be an act of compassion and a challenge to a community’s assumptions about exclusion. A meal can express hospitality and a contested claim about the reach of God’s mercy. A rebuke of religious leaders can expose hypocrisy without implying that every Jewish teacher was hypocritical. Each text still requires its own literary and historical examination; the background gives us better questions, not automatic answers.</w:t>
      </w:r>
    </w:p>
    <w:p w14:paraId="5E08A921" w14:textId="77777777" w:rsidR="00F5446F" w:rsidRDefault="00000000">
      <w:r>
        <w:t>This module also prepares the way for the larger theological movement of our study. Jesus will not merely exchange one human hierarchy for another. His ministry confronts the inadequacy of social reputation as the final verdict on a person. The cross will make that confrontation especially severe, because Roman execution publicly advertised humiliation and defeat. Paul’s language of confidence, vindication, and Hope will then invite us to ask what it means for believers to stand before God when the world’s judgments are unstable or hostile. We will reach those conclusions by tracing the texts themselves, not by assuming them in advance.</w:t>
      </w:r>
    </w:p>
    <w:p w14:paraId="0D4D3E3E" w14:textId="77777777" w:rsidR="00F5446F" w:rsidRDefault="00000000">
      <w:pPr>
        <w:pStyle w:val="Heading2"/>
      </w:pPr>
      <w:r>
        <w:t>Conclusion: Learning to Recognize the Audience</w:t>
      </w:r>
    </w:p>
    <w:p w14:paraId="67598F89" w14:textId="77777777" w:rsidR="00F5446F" w:rsidRDefault="00000000">
      <w:r>
        <w:t>Second Temple Jewish communities inhabited a world in which covenant ancestry, holiness, family relationships, religious learning, public reputation, and communal belonging were deeply consequential. Yet the evidence does not permit us to flatten those communities into a single “honor-shame culture,” and Scripture itself repeatedly distinguishes genuine righteousness from the prestige people claim or confer. The historical task is therefore one of careful differentiation: which audience, which setting, which social practice, and which claim about God are actually before us?</w:t>
      </w:r>
    </w:p>
    <w:p w14:paraId="71E471C1" w14:textId="77777777" w:rsidR="00F5446F" w:rsidRDefault="00000000">
      <w:r>
        <w:t xml:space="preserve">When we read with those questions in mind, we are better prepared to hear the Gospels as their first audiences might have heard them. We can recognize why some encounters carried public stakes that modern readers overlook, while allowing Jesus’ words and deeds—not a reconstructed cultural model—to </w:t>
      </w:r>
      <w:r>
        <w:lastRenderedPageBreak/>
        <w:t>determine their meaning. The next module will examine how Jesus both worked within this world and overturned its familiar measures of honor.</w:t>
      </w:r>
    </w:p>
    <w:p w14:paraId="63ECE409" w14:textId="77777777" w:rsidR="00F5446F" w:rsidRDefault="00000000">
      <w:pPr>
        <w:pStyle w:val="Heading2"/>
      </w:pPr>
      <w:r>
        <w:t>Selected Bibliography (SBLHS 2)</w:t>
      </w:r>
    </w:p>
    <w:p>
      <w:pPr>
        <w:spacing w:after="100"/>
        <w:ind w:left="403" w:hanging="403"/>
      </w:pPr>
      <w:r>
        <w:t xml:space="preserve">Cohen, Shaye J. D. </w:t>
      </w:r>
      <w:r>
        <w:rPr>
          <w:i/>
        </w:rPr>
        <w:t>From the Maccabees to the Mishnah</w:t>
      </w:r>
      <w:r>
        <w:t>. 3rd ed. Louisville: Westminster John Knox, 2014.</w:t>
      </w:r>
    </w:p>
    <w:p>
      <w:pPr>
        <w:spacing w:after="100"/>
        <w:ind w:left="403" w:hanging="403"/>
      </w:pPr>
      <w:r>
        <w:t xml:space="preserve">deSilva, David A. </w:t>
      </w:r>
      <w:r>
        <w:rPr>
          <w:i/>
        </w:rPr>
        <w:t>Honor, Patronage, Kinship, &amp; Purity: Unlocking New Testament Culture</w:t>
      </w:r>
      <w:r>
        <w:t>. 2nd ed. Downers Grove, IL: IVP Academic, 2022.</w:t>
      </w:r>
    </w:p>
    <w:p>
      <w:pPr>
        <w:spacing w:after="100"/>
        <w:ind w:left="403" w:hanging="403"/>
      </w:pPr>
      <w:r>
        <w:t xml:space="preserve">Magness, Jodi. </w:t>
      </w:r>
      <w:r>
        <w:rPr>
          <w:i/>
        </w:rPr>
        <w:t>Stone and Dung, Oil and Spit: Jewish Daily Life in the Time of Jesus</w:t>
      </w:r>
      <w:r>
        <w:t>. Grand Rapids: Eerdmans, 2011.</w:t>
      </w:r>
    </w:p>
    <w:p>
      <w:pPr>
        <w:spacing w:after="100"/>
        <w:ind w:left="403" w:hanging="403"/>
      </w:pPr>
      <w:r>
        <w:t xml:space="preserve">Sanders, E. P. </w:t>
      </w:r>
      <w:r>
        <w:rPr>
          <w:i/>
        </w:rPr>
        <w:t>Judaism: Practice and Belief, 63 BCE–66 CE</w:t>
      </w:r>
      <w:r>
        <w:t>. London: SCM Press, 1992.</w:t>
      </w:r>
    </w:p>
    <w:p w14:paraId="2212EA79" w14:textId="77777777" w:rsidR="00F5446F" w:rsidRDefault="00000000">
      <w:r>
        <w:t>Primary comparative sources: Sirach 3 and 10; 1 Maccabees 2; Josephus, Jewish Antiquities 18.11–25. These sources represent particular authors and contexts rather than a universal Jewish consensus.</w:t>
      </w:r>
    </w:p>
    <w:p>
      <w:pPr>
        <w:spacing w:before="200"/>
      </w:pPr>
      <w:r>
        <w:t>Scripture references in this module are paraphrased rather than quoted verbatim. The New American Standard Bible (1977) is the designated translation for any direct quotations introduced in a future edition.</w:t>
      </w:r>
    </w:p>
    <w:sectPr w:rsidR="00F5446F" w:rsidSect="00034616">
      <w:headerReference w:type="default" r:id="rId8"/>
      <w:footerReference w:type="default" r:id="rId9"/>
      <w:pgSz w:w="12240" w:h="15840"/>
      <w:pgMar w:top="1123" w:right="1339" w:bottom="1037" w:left="133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C5217" w14:textId="77777777" w:rsidR="003D2992" w:rsidRDefault="003D2992">
      <w:pPr>
        <w:spacing w:after="0" w:line="240" w:lineRule="auto"/>
      </w:pPr>
      <w:r>
        <w:separator/>
      </w:r>
    </w:p>
  </w:endnote>
  <w:endnote w:type="continuationSeparator" w:id="0">
    <w:p w14:paraId="355B4CDC" w14:textId="77777777" w:rsidR="003D2992" w:rsidRDefault="003D29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76051" w14:textId="77777777" w:rsidR="00F5446F" w:rsidRDefault="00000000">
    <w:pPr>
      <w:pStyle w:val="Footer"/>
      <w:jc w:val="right"/>
    </w:pPr>
    <w:r>
      <w:rPr>
        <w:sz w:val="16"/>
      </w:rPr>
      <w:t>Shame and Honor • Module 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C32FA" w14:textId="77777777" w:rsidR="003D2992" w:rsidRDefault="003D2992">
      <w:pPr>
        <w:spacing w:after="0" w:line="240" w:lineRule="auto"/>
      </w:pPr>
      <w:r>
        <w:separator/>
      </w:r>
    </w:p>
  </w:footnote>
  <w:footnote w:type="continuationSeparator" w:id="0">
    <w:p w14:paraId="0D317A5D" w14:textId="77777777" w:rsidR="003D2992" w:rsidRDefault="003D29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09FE3" w14:textId="77777777" w:rsidR="00F5446F" w:rsidRDefault="00000000">
    <w:pPr>
      <w:jc w:val="right"/>
    </w:pPr>
    <w:r>
      <w:rPr>
        <w:sz w:val="16"/>
      </w:rPr>
      <w:t>SHAME AND HONOR  |  DAVID V. LOTT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29535929">
    <w:abstractNumId w:val="8"/>
  </w:num>
  <w:num w:numId="2" w16cid:durableId="489906586">
    <w:abstractNumId w:val="6"/>
  </w:num>
  <w:num w:numId="3" w16cid:durableId="1123304205">
    <w:abstractNumId w:val="5"/>
  </w:num>
  <w:num w:numId="4" w16cid:durableId="1952471776">
    <w:abstractNumId w:val="4"/>
  </w:num>
  <w:num w:numId="5" w16cid:durableId="314653222">
    <w:abstractNumId w:val="7"/>
  </w:num>
  <w:num w:numId="6" w16cid:durableId="1243296874">
    <w:abstractNumId w:val="3"/>
  </w:num>
  <w:num w:numId="7" w16cid:durableId="717897188">
    <w:abstractNumId w:val="2"/>
  </w:num>
  <w:num w:numId="8" w16cid:durableId="1212956941">
    <w:abstractNumId w:val="1"/>
  </w:num>
  <w:num w:numId="9" w16cid:durableId="276378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D2992"/>
    <w:rsid w:val="00613F9D"/>
    <w:rsid w:val="00AA1D8D"/>
    <w:rsid w:val="00B47730"/>
    <w:rsid w:val="00CB0664"/>
    <w:rsid w:val="00F038A2"/>
    <w:rsid w:val="00F5446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F8AB29"/>
  <w14:defaultImageDpi w14:val="300"/>
  <w15:docId w15:val="{218FB30F-E9B7-4629-8A05-5EEA7729F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71" w:lineRule="auto"/>
    </w:pPr>
    <w:rPr>
      <w:rFonts w:ascii="Cambria" w:hAnsi="Cambria"/>
      <w:sz w:val="21"/>
    </w:rPr>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b/>
      <w:bCs/>
      <w:color w:val="1C354C"/>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60" w:after="100" w:line="240" w:lineRule="auto"/>
      <w:contextualSpacing/>
    </w:pPr>
    <w:rPr>
      <w:rFonts w:asciiTheme="majorHAnsi" w:eastAsiaTheme="majorEastAsia" w:hAnsiTheme="majorHAnsi" w:cstheme="majorBidi"/>
      <w:b/>
      <w:color w:val="1C354C"/>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2446</Words>
  <Characters>13944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16358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Lott, David V</cp:lastModifiedBy>
  <cp:revision>2</cp:revision>
  <dcterms:created xsi:type="dcterms:W3CDTF">2026-10-21T16:20:00Z</dcterms:created>
  <dcterms:modified xsi:type="dcterms:W3CDTF">2026-10-21T16:20:00Z</dcterms:modified>
  <cp:category/>
</cp:coreProperties>
</file>