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92392" w14:textId="77777777" w:rsidR="00C32D2C" w:rsidRDefault="00000000">
      <w:pPr>
        <w:pStyle w:val="Subtitle"/>
      </w:pPr>
      <w:r>
        <w:t>MODULE 4</w:t>
      </w:r>
    </w:p>
    <w:p w14:paraId="3B566A03" w14:textId="77777777" w:rsidR="00C32D2C" w:rsidRDefault="00000000">
      <w:pPr>
        <w:pStyle w:val="Title"/>
      </w:pPr>
      <w:r>
        <w:t>Jesus and the Reversal of Honor</w:t>
      </w:r>
    </w:p>
    <w:p w14:paraId="7D2DC3FC" w14:textId="77777777" w:rsidR="00C32D2C" w:rsidRDefault="00000000">
      <w:pPr>
        <w:pStyle w:val="Subtitle"/>
      </w:pPr>
      <w:r>
        <w:t>The Beatitudes, public reputation, table fellowship, and the honor that comes from the Father</w:t>
      </w:r>
    </w:p>
    <w:p w14:paraId="5FC4A503" w14:textId="77777777" w:rsidR="00C32D2C" w:rsidRDefault="00000000">
      <w:pPr>
        <w:pStyle w:val="Heading1"/>
      </w:pPr>
      <w:r>
        <w:t>The Question: Did Jesus Reject Honor?</w:t>
      </w:r>
    </w:p>
    <w:p w14:paraId="15FB57B5" w14:textId="77777777" w:rsidR="00C32D2C" w:rsidRDefault="00000000">
      <w:r>
        <w:t>The Gospels present Jesus within a society in which family identity, recognized teachers, public reputation, hospitality, and access to positions of distinction mattered. The preceding module established that these patterns were neither uniform nor necessarily corrupt. Scripture itself commands appropriate honor toward parents and others, while the biblical prophets condemn the misuse of power and the humiliation of the vulnerable. The question, then, is not whether Jesus entered a world obsessed with something wholly foreign to biblical faith. It is whether He accepted the prevailing ways in which honor was measured, bestowed, and defended.</w:t>
      </w:r>
    </w:p>
    <w:p w14:paraId="666078A5" w14:textId="77777777" w:rsidR="00C32D2C" w:rsidRDefault="00000000">
      <w:r>
        <w:t>The evidence suggests a more exact conclusion than the claim that Jesus abolished honor. He exposed the instability of human acclaim as a measure of righteousness, challenged the pursuit of status at others’ expense, and identified the Father as the decisive judge of what is honorable. At the same time, He affirmed the value of genuine faithfulness, mercy, humility, and service. His ministry therefore reorders honor around the purposes of God. This is not simply a modern lesson about self-esteem. It concerns whose verdict counts, which behaviors deserve recognition, and what happens when a community’s judgments oppose the work of God.</w:t>
      </w:r>
    </w:p>
    <w:p w14:paraId="1E012D22" w14:textId="77777777" w:rsidR="00C32D2C" w:rsidRDefault="00000000">
      <w:pPr>
        <w:pStyle w:val="Heading2"/>
      </w:pPr>
      <w:r>
        <w:t>The Beatitudes: Who Is Called Blessed?</w:t>
      </w:r>
    </w:p>
    <w:p w14:paraId="2E2D2700" w14:textId="77777777" w:rsidR="00C32D2C" w:rsidRDefault="00000000">
      <w:r>
        <w:t>The Beatitudes in Matthew 5:3–12 offer a natural beginning because they place Jesus’ assessment of persons alongside conditions that could invite public dismissal. Poverty of spirit, mourning, meekness, hunger for righteousness, mercy, purity of heart, peacemaking, and persecution are not presented as the usual badges of social superiority. Some describe dispositions before God; others describe costly conduct or circumstances endured by disciples. Jesus announces divine favor without suggesting that every hardship is virtuous in itself. The blessing of those persecuted for righteousness, for example, must not be generalized into an endorsement of suffering caused by one’s own misconduct.</w:t>
      </w:r>
    </w:p>
    <w:p w14:paraId="153E06F1" w14:textId="77777777" w:rsidR="00C32D2C" w:rsidRDefault="00000000">
      <w:r>
        <w:t>The Greek adjective makarios has often been rendered “blessed” or “happy,” but neither English word by itself exhausts its function in these pronouncements. Jesus is pronouncing people blessed in view of God’s kingdom and promises; the blessings include both present kingdom identity and future reversals, even when visible circumstances seem to deny their favored condition. Some interpreters describe this as an honor-conferring declaration, but “divine congratulation” should not be treated as the fixed lexical meaning of makarios. The precise relation of makarios to the language of honor should be argued from the literary setting rather than assumed from a single lexical gloss. The striking feature is the contrast between public appearance and the kingdom’s evaluation: people who may look defeated or insignificant are named as participants in God’s promised future.</w:t>
      </w:r>
    </w:p>
    <w:p w14:paraId="079CFA29" w14:textId="77777777" w:rsidR="00C32D2C" w:rsidRDefault="00000000">
      <w:r>
        <w:t>Matthew 5:11–12 sharpens the point by referring to insult, persecution, and false accusation on account of Jesus. Here the honor-shame dimension is not merely reconstructed background; the text explicitly describes hostile public treatment and answers it with a promise of reward. The believer’s response is grounded not in a denial that insult hurts, but in confidence that the accusers do not possess the final judgment. This passage will later illuminate why Paul can speak of Hope that does not ultimately issue in shame (Romans 5:5), though the two passages must first be understood in their own arguments.</w:t>
      </w:r>
    </w:p>
    <w:p w14:paraId="2C35A99F" w14:textId="77777777" w:rsidR="00C32D2C" w:rsidRDefault="00000000">
      <w:pPr>
        <w:pStyle w:val="Heading2"/>
      </w:pPr>
      <w:r>
        <w:lastRenderedPageBreak/>
        <w:t>Seats of Honor, Banquets, and the Danger of Self-Exaltation</w:t>
      </w:r>
    </w:p>
    <w:p w14:paraId="21B9117B" w14:textId="77777777" w:rsidR="00C32D2C" w:rsidRDefault="00000000">
      <w:r>
        <w:t>In Luke 14:7–11 Jesus notices guests choosing prominent places at a meal and tells a parable about taking the lower place rather than presuming upon a higher one. The setting matters. Meals could display recognized relationships and social rank, and a place at table could publicly communicate a guest’s standing. Jesus’ teaching does not merely offer clever etiquette for obtaining a better seat. His concluding principle moves from social behavior to the reversal of self-exaltation and humility. The narrative invites listeners to reconsider whether honor can be secured by claiming it for oneself.</w:t>
      </w:r>
    </w:p>
    <w:p w14:paraId="53E0518E" w14:textId="77777777" w:rsidR="00C32D2C" w:rsidRDefault="00000000">
      <w:r>
        <w:t>The following teaching in Luke 14:12–14 presses beyond rank among guests to the motives of hosts. Invitations offered only to those able to repay them preserve networks of reciprocity and advantage. Jesus instead directs attention toward people unable to return the favor, locating the ultimate recompense in God’s future judgment. This does not make all ordinary reciprocal hospitality sinful. It challenges the reduction of generosity to a transaction that purchases prestige. The same distinction is crucial for application: Christian hospitality is not an instrument for cultivating influential connections, even though mutual friendship and gratitude remain legitimate goods.</w:t>
      </w:r>
    </w:p>
    <w:p w14:paraId="5FA5A56D" w14:textId="77777777" w:rsidR="00C32D2C" w:rsidRDefault="00000000">
      <w:pPr>
        <w:pStyle w:val="Heading2"/>
      </w:pPr>
      <w:r>
        <w:t>Public Religious Performance and the Audience That Matters</w:t>
      </w:r>
    </w:p>
    <w:p w14:paraId="70C83590" w14:textId="77777777" w:rsidR="00C32D2C" w:rsidRDefault="00000000">
      <w:r>
        <w:t>Matthew 6:1–18 addresses giving, prayer, and fasting as acts that may be performed before human observers in order to win recognition. Jesus does not reject those practices; He assumes their continued place in the life of disciples. What He questions is the intended audience and the reward sought. If religious action is arranged chiefly to be admired, the acclaim received may be all the recognition the performer obtains. By contrast, the Father sees what is hidden. The point is not that public prayer, visible charity, or communal worship is inherently wrong; Matthew 5:16 has already spoken positively of good works seen by others when those works lead to the Father’s glory.</w:t>
      </w:r>
    </w:p>
    <w:p w14:paraId="4BBBD5E4" w14:textId="77777777" w:rsidR="00C32D2C" w:rsidRDefault="00000000">
      <w:r>
        <w:t>The apparent tension between visible good works and hidden devotion dissolves when the intended recipient of glory is identified. The issue is not visibility alone but the desire to convert piety into personal prestige. The same concern appears in Jesus’ criticism of leaders who seek public greetings and places of distinction while mistreating the vulnerable (Mark 12:38–40). We should neither universalize these charges to every scribe nor detach them from their stated ethical setting. The rebuke concerns the union of status-seeking with injustice, not scholarship or religious leadership as such.</w:t>
      </w:r>
    </w:p>
    <w:p w14:paraId="000959FC" w14:textId="77777777" w:rsidR="00C32D2C" w:rsidRDefault="00000000">
      <w:pPr>
        <w:pStyle w:val="Heading2"/>
      </w:pPr>
      <w:r>
        <w:t>Healing, Exclusion, and the Restoration of Persons</w:t>
      </w:r>
    </w:p>
    <w:p w14:paraId="01CDB6F9" w14:textId="77777777" w:rsidR="00C32D2C" w:rsidRDefault="00000000">
      <w:r>
        <w:t>The Gospel healing accounts often have public dimensions that modern readers miss. Illness could involve physical suffering, economic vulnerability, interrupted participation in ordinary community life, or stigma, although none of these consequences should be assumed uniformly for every condition. When Jesus touches a man with a serious skin disease in Mark 1:40–45, the encounter concerns healing and restoration, not a simple declaration that Jewish purity practices were cruel. The instructions to show oneself to a priest and offer what Moses commanded demonstrate that the narrative must be read in relation to the existing procedures of restoration.</w:t>
      </w:r>
    </w:p>
    <w:p w14:paraId="4BF11831" w14:textId="77777777" w:rsidR="00C32D2C" w:rsidRDefault="00000000">
      <w:r>
        <w:t>In Luke 13:10–17 Jesus heals a woman who has been bent over for many years. The synagogue leader’s objection concerns the timing of the healing on the Sabbath; Jesus answers by appealing to the appropriateness of release from bondage and by identifying the woman as a daughter of Abraham. That designation is significant because it affirms her place within the covenant people rather than treating her solely as an object of pity. Her restoration is embodied and public, and the narrative contrasts shame brought upon Jesus’ opponents with the rejoicing of the crowd. Here honor and shame are present in the narrative’s explicit outcome, though the central issue remains the right understanding of Sabbath mercy.</w:t>
      </w:r>
    </w:p>
    <w:p w14:paraId="7B39FDF6" w14:textId="77777777" w:rsidR="00C32D2C" w:rsidRDefault="00000000">
      <w:r>
        <w:lastRenderedPageBreak/>
        <w:t>John 9 offers another important caution. The disciples ask whether a man’s blindness resulted from his own sin or that of his parents. Jesus rejects the alternatives they present (John 9:1–3). We should not claim that every Jew held this causal assumption, for the text places it in the mouths of particular disciples and records Jesus’ correction. The subsequent dispute over the healing shows that social judgments about a person can be challenged by an act of God. The account also moves beyond social rehabilitation to the question of recognizing Jesus, making spiritual perception—not merely restored reputation—central to its theological purpose.</w:t>
      </w:r>
    </w:p>
    <w:p w14:paraId="7AD0BF26" w14:textId="77777777" w:rsidR="00C32D2C" w:rsidRDefault="00000000">
      <w:pPr>
        <w:pStyle w:val="Heading2"/>
      </w:pPr>
      <w:r>
        <w:t>Table Fellowship and the Honor of Mercy</w:t>
      </w:r>
    </w:p>
    <w:p w14:paraId="35420D84" w14:textId="77777777" w:rsidR="00C32D2C" w:rsidRDefault="00000000">
      <w:r>
        <w:t>Jesus’ meals with tax collectors and others labeled sinners provoked criticism (Mark 2:15–17; Luke 15:1–2). To eat with someone could communicate acceptance, relationship, or willingness to cross a contested social boundary. But the Gospel narratives do not require us to suppose that all tax collectors had identical moral histories or that every observer shared one view of their status. Jesus’ response identifies His mission toward those in need of repentance and restoration. The point is not that moral conduct is irrelevant; it is that a reputation for sin does not place a person beyond the reach of divine mercy.</w:t>
      </w:r>
    </w:p>
    <w:p w14:paraId="420D4C68" w14:textId="77777777" w:rsidR="00C32D2C" w:rsidRDefault="00000000">
      <w:r>
        <w:t>Luke 7:36–50 makes the contrast especially vivid. At a meal in the home of a Pharisee, a woman identified as a sinner approaches Jesus, and the host interprets her actions through what he believes he knows of her character. Jesus tells a parable about forgiveness and then contrasts the host’s hospitality with the woman’s response. The narrative challenges a confident social verdict by disclosing what the host has failed to understand. Yet the text does not license a broad judgment that Pharisees were uniformly inhospitable or that all persons with damaged reputations were morally innocent. It insists that forgiveness, love, and the perception of persons cannot be reduced to public labeling.</w:t>
      </w:r>
    </w:p>
    <w:p w14:paraId="13390840" w14:textId="77777777" w:rsidR="00C32D2C" w:rsidRDefault="00000000">
      <w:pPr>
        <w:pStyle w:val="Heading2"/>
      </w:pPr>
      <w:r>
        <w:t>The Challenge to Authority: More Than Winning a Public Contest</w:t>
      </w:r>
    </w:p>
    <w:p w14:paraId="0DFE4A42" w14:textId="77777777" w:rsidR="00C32D2C" w:rsidRDefault="00000000">
      <w:r>
        <w:t>Several controversies involve questions put to Jesus before an audience: the source of His authority, the legitimacy of His actions, or His interpretation of commandments (Mark 11:27–33; 12:13–34). Scholars sometimes describe these exchanges using the social pattern of challenge and response, in which public questions test standing and an effective reply can reverse the pressure. This model can be illuminating when the narrative itself portrays an attempted trap. It is less helpful when applied indiscriminately to every sincere question or disagreement.</w:t>
      </w:r>
    </w:p>
    <w:p w14:paraId="6F7372A2" w14:textId="77777777" w:rsidR="00C32D2C" w:rsidRDefault="00000000">
      <w:r>
        <w:t>Jesus does not prevail simply because He is more skillful at securing applause. His answers reveal the insufficiency of the questioners’ premises, direct attention to God’s purposes, and often expose the distance between recognized authority and actual understanding. Mark 12:28–34, for instance, portrays a scribe whose thoughtful answer receives a favorable response from Jesus. That account prevents us from reading every exchange with a religious specialist as hostility. Our interpretive discipline must preserve the distinctive motives and outcomes that each evangelist reports.</w:t>
      </w:r>
    </w:p>
    <w:p w14:paraId="3B019495" w14:textId="77777777" w:rsidR="00C32D2C" w:rsidRDefault="00000000">
      <w:pPr>
        <w:pStyle w:val="Heading2"/>
      </w:pPr>
      <w:r>
        <w:t>The Greatest Becomes the Servant</w:t>
      </w:r>
    </w:p>
    <w:p w14:paraId="46ADE8FA" w14:textId="77777777" w:rsidR="00C32D2C" w:rsidRDefault="00000000">
      <w:r>
        <w:t>The disciples themselves were not immune to conventional measures of greatness. Mark 9:33–37 describes a dispute among them about who was greatest; Jesus answers by connecting first place with becoming last and serving others. He then places a child in their midst. The child should not be romanticized as a modern symbol of innocence or personal authenticity. In that setting a child generally lacked the public authority and status of an adult. Receiving such a person in Jesus’ name therefore tests whether disciples will honor those who cannot advance their position.</w:t>
      </w:r>
    </w:p>
    <w:p w14:paraId="18CF984A" w14:textId="77777777" w:rsidR="00C32D2C" w:rsidRDefault="00000000">
      <w:r>
        <w:lastRenderedPageBreak/>
        <w:t>Mark 10:35–45 develops the theme when James and John seek prominent places in the coming glory. Jesus contrasts the exercise of domination by rulers with the pattern required among His followers, culminating in His own service and self-giving. The text does not abolish leadership or deny that responsibility exists within a community. It transforms the meaning of greatness: authority is to be exercised for others rather than used to extract deference. This reorientation will become foundational when we later consider the church as a new community of honor.</w:t>
      </w:r>
    </w:p>
    <w:p w14:paraId="6F11FDB6" w14:textId="77777777" w:rsidR="00C32D2C" w:rsidRDefault="00000000">
      <w:pPr>
        <w:pStyle w:val="Heading2"/>
      </w:pPr>
      <w:r>
        <w:t>Honor From the Father Rather Than From One Another</w:t>
      </w:r>
    </w:p>
    <w:p w14:paraId="203F1D1D" w14:textId="77777777" w:rsidR="00C32D2C" w:rsidRDefault="00000000">
      <w:r>
        <w:t>John’s Gospel gives explicit theological language to the conflict between human acclaim and divine approval. In John 5:41–44 Jesus contrasts the reception of glory from human beings with the failure to seek the glory that comes from the only God. The context is a sustained dispute over testimony, recognition, and unbelief; the point is not that all human appreciation is forbidden. Rather, the pursuit of mutual recognition can become a barrier to receiving the One whom the Father has sent. John 12:42–43 presents a related situation in which fear of exclusion and preference for human approval inhibit open confession.</w:t>
      </w:r>
    </w:p>
    <w:p w14:paraId="304CADE3" w14:textId="77777777" w:rsidR="00C32D2C" w:rsidRDefault="00000000">
      <w:r>
        <w:t>This is the interpretive center of the module. Jesus does not instruct disciples to manufacture disgrace or to despise their neighbors’ judgments. He exposes the danger of treating those judgments as ultimate. A person may be praised by a crowd and yet resist God; another may be rejected by influential people while responding faithfully to Him. That claim is not permission to dismiss all criticism as persecution. It requires believers to test both praise and blame against the actual teaching of Scripture, the character of Christ, and the moral responsibilities of love and truth.</w:t>
      </w:r>
    </w:p>
    <w:p w14:paraId="08B7BAD4" w14:textId="77777777" w:rsidR="00C32D2C" w:rsidRDefault="00000000">
      <w:pPr>
        <w:pStyle w:val="Heading2"/>
      </w:pPr>
      <w:r>
        <w:t>From Jesus’ Ministry Toward the Shame of the Cross</w:t>
      </w:r>
    </w:p>
    <w:p w14:paraId="0B8716EF" w14:textId="77777777" w:rsidR="00C32D2C" w:rsidRDefault="00000000">
      <w:r>
        <w:t>The reversals observed in Jesus’ teaching anticipate the profound contradiction of His crucifixion. A condemned man exposed to public mockery appeared, within Roman practices of punitive display, to have been stripped of honor and power. The Gospels will insist that the meaning of Jesus’ death cannot be established by the spectators’ verdict. Yet we should not rush to that conclusion before examining crucifixion’s actual social and political function. Module 5 will therefore investigate the cross as an instrument of public humiliation and the resurrection as God’s vindication of His Son.</w:t>
      </w:r>
    </w:p>
    <w:p w14:paraId="58877FFA" w14:textId="77777777" w:rsidR="00C32D2C" w:rsidRDefault="00000000">
      <w:r>
        <w:t>For now, the trajectory is clear. The Beatitudes announce blessing where appearances suggest failure; the meal teachings undermine competitive self-promotion; healings and fellowship challenge premature judgments about persons; and Jesus’ instruction to the disciples makes service rather than domination the mark of greatness. These are not disconnected ethical sayings. Together they reveal a consistent challenge to the assumption that human communities are competent to determine ultimate honor.</w:t>
      </w:r>
    </w:p>
    <w:p w14:paraId="614579A7" w14:textId="77777777" w:rsidR="00C32D2C" w:rsidRDefault="00000000">
      <w:pPr>
        <w:pStyle w:val="Heading2"/>
      </w:pPr>
      <w:r>
        <w:t>Conclusion: The Measure of Genuine Honor</w:t>
      </w:r>
    </w:p>
    <w:p w14:paraId="4158E1B8" w14:textId="77777777" w:rsidR="00C32D2C" w:rsidRDefault="00000000">
      <w:r>
        <w:t>The most defensible conclusion is not that Jesus repudiated every social convention of honor, nor that He merely substituted one ranking system for another. He taught that God’s evaluation must govern the believer’s understanding of worth, faithfulness, and greatness. Where human recognition coincides with mercy, truth, and justice, it may be appropriate; where it rewards self-exaltation or punishes faithfulness, it must not be allowed to determine the disciple’s identity.</w:t>
      </w:r>
    </w:p>
    <w:p w14:paraId="09D838D2" w14:textId="77777777" w:rsidR="00C32D2C" w:rsidRDefault="00000000">
      <w:r>
        <w:t xml:space="preserve">This background matters for contemporary application precisely because modern readers remain vulnerable to social verdicts, even when the mechanisms differ from those of first-century Judea and Galilee. Public reputation, institutional standing, wealth, and the approval of influential people can still become mistaken measures of spiritual maturity. Jesus calls His followers not to indifference toward </w:t>
      </w:r>
      <w:r>
        <w:lastRenderedPageBreak/>
        <w:t>others, but to freedom from the tyranny of their applause. That freedom is rooted in the Father’s judgment and expressed in service to those whom society is tempted to overlook.</w:t>
      </w:r>
    </w:p>
    <w:p w14:paraId="4708961F" w14:textId="77777777" w:rsidR="00C32D2C" w:rsidRDefault="00000000">
      <w:pPr>
        <w:pStyle w:val="Heading2"/>
      </w:pPr>
      <w:r>
        <w:t>Selected Bibliography (SBLHS 2)</w:t>
      </w:r>
    </w:p>
    <w:p>
      <w:pPr>
        <w:spacing w:after="100"/>
        <w:ind w:left="403" w:hanging="403"/>
      </w:pPr>
      <w:r>
        <w:t xml:space="preserve">deSilva, David A. </w:t>
      </w:r>
      <w:r>
        <w:rPr>
          <w:i/>
        </w:rPr>
        <w:t>Honor, Patronage, Kinship, &amp; Purity: Unlocking New Testament Culture</w:t>
      </w:r>
      <w:r>
        <w:t>. 2nd ed. Downers Grove, IL: IVP Academic, 2022.</w:t>
      </w:r>
    </w:p>
    <w:p>
      <w:pPr>
        <w:spacing w:after="100"/>
        <w:ind w:left="403" w:hanging="403"/>
      </w:pPr>
      <w:r>
        <w:t xml:space="preserve">France, R. T. </w:t>
      </w:r>
      <w:r>
        <w:rPr>
          <w:i/>
        </w:rPr>
        <w:t>The Gospel of Matthew</w:t>
      </w:r>
      <w:r>
        <w:t>. NICNT. Grand Rapids: Eerdmans, 2007.</w:t>
      </w:r>
    </w:p>
    <w:p>
      <w:pPr>
        <w:spacing w:after="100"/>
        <w:ind w:left="403" w:hanging="403"/>
      </w:pPr>
      <w:r>
        <w:t xml:space="preserve">Green, Joel B. </w:t>
      </w:r>
      <w:r>
        <w:rPr>
          <w:i/>
        </w:rPr>
        <w:t>The Gospel of Luke</w:t>
      </w:r>
      <w:r>
        <w:t>. NICNT. Grand Rapids: Eerdmans, 1997.</w:t>
      </w:r>
    </w:p>
    <w:p>
      <w:pPr>
        <w:spacing w:after="100"/>
        <w:ind w:left="403" w:hanging="403"/>
      </w:pPr>
      <w:r>
        <w:t xml:space="preserve">Malina, Bruce J. </w:t>
      </w:r>
      <w:r>
        <w:rPr>
          <w:i/>
        </w:rPr>
        <w:t>The New Testament World: Insights from Cultural Anthropology</w:t>
      </w:r>
      <w:r>
        <w:t>. 3rd ed. Louisville: Westminster John Knox, 2001.</w:t>
      </w:r>
    </w:p>
    <w:p>
      <w:pPr>
        <w:spacing w:after="100"/>
        <w:ind w:left="403" w:hanging="403"/>
      </w:pPr>
      <w:r>
        <w:t xml:space="preserve">Neyrey, Jerome H. </w:t>
      </w:r>
      <w:r>
        <w:rPr>
          <w:i/>
        </w:rPr>
        <w:t>Honor and Shame in the Gospel of Matthew</w:t>
      </w:r>
      <w:r>
        <w:t>. Louisville: Westminster John Knox, 1998.</w:t>
      </w:r>
    </w:p>
    <w:p w14:paraId="7E17E988" w14:textId="77777777" w:rsidR="00C32D2C" w:rsidRDefault="00000000">
      <w:r>
        <w:t>Primary passages for sustained comparison: Matthew 5–6; Mark 2, 9–12; Luke 7, 13–15; John 5, 9, 12. These are study references, not a claim that each passage addresses the same social mechanism.</w:t>
      </w:r>
    </w:p>
    <w:p>
      <w:pPr>
        <w:spacing w:before="200"/>
      </w:pPr>
      <w:r>
        <w:t>Scripture references in this module are paraphrased rather than quoted verbatim. The New American Standard Bible (1977) is the designated translation for any direct quotations introduced in a future edition.</w:t>
      </w:r>
    </w:p>
    <w:sectPr w:rsidR="00C32D2C" w:rsidSect="00034616">
      <w:headerReference w:type="default" r:id="rId8"/>
      <w:footerReference w:type="default" r:id="rId9"/>
      <w:pgSz w:w="12240" w:h="15840"/>
      <w:pgMar w:top="1123" w:right="1339" w:bottom="1037" w:left="133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41FAF" w14:textId="77777777" w:rsidR="0084705B" w:rsidRDefault="0084705B">
      <w:pPr>
        <w:spacing w:after="0" w:line="240" w:lineRule="auto"/>
      </w:pPr>
      <w:r>
        <w:separator/>
      </w:r>
    </w:p>
  </w:endnote>
  <w:endnote w:type="continuationSeparator" w:id="0">
    <w:p w14:paraId="14BE6044" w14:textId="77777777" w:rsidR="0084705B" w:rsidRDefault="00847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E9E4B" w14:textId="77777777" w:rsidR="00C32D2C" w:rsidRDefault="00000000">
    <w:pPr>
      <w:pStyle w:val="Footer"/>
      <w:jc w:val="right"/>
    </w:pPr>
    <w:r>
      <w:rPr>
        <w:sz w:val="16"/>
      </w:rPr>
      <w:t>Shame and Honor • Module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98A9D" w14:textId="77777777" w:rsidR="0084705B" w:rsidRDefault="0084705B">
      <w:pPr>
        <w:spacing w:after="0" w:line="240" w:lineRule="auto"/>
      </w:pPr>
      <w:r>
        <w:separator/>
      </w:r>
    </w:p>
  </w:footnote>
  <w:footnote w:type="continuationSeparator" w:id="0">
    <w:p w14:paraId="040C3540" w14:textId="77777777" w:rsidR="0084705B" w:rsidRDefault="00847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AA709" w14:textId="77777777" w:rsidR="00C32D2C" w:rsidRDefault="00000000">
    <w:pPr>
      <w:jc w:val="right"/>
    </w:pPr>
    <w:r>
      <w:rPr>
        <w:sz w:val="16"/>
      </w:rPr>
      <w:t>SHAME AND HONOR  |  DAVID V. LOTT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445951">
    <w:abstractNumId w:val="8"/>
  </w:num>
  <w:num w:numId="2" w16cid:durableId="403839167">
    <w:abstractNumId w:val="6"/>
  </w:num>
  <w:num w:numId="3" w16cid:durableId="557400964">
    <w:abstractNumId w:val="5"/>
  </w:num>
  <w:num w:numId="4" w16cid:durableId="944655689">
    <w:abstractNumId w:val="4"/>
  </w:num>
  <w:num w:numId="5" w16cid:durableId="1771463475">
    <w:abstractNumId w:val="7"/>
  </w:num>
  <w:num w:numId="6" w16cid:durableId="568686742">
    <w:abstractNumId w:val="3"/>
  </w:num>
  <w:num w:numId="7" w16cid:durableId="53084843">
    <w:abstractNumId w:val="2"/>
  </w:num>
  <w:num w:numId="8" w16cid:durableId="1484617743">
    <w:abstractNumId w:val="1"/>
  </w:num>
  <w:num w:numId="9" w16cid:durableId="1245188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32F77"/>
    <w:rsid w:val="0084705B"/>
    <w:rsid w:val="00954B0A"/>
    <w:rsid w:val="00AA1D8D"/>
    <w:rsid w:val="00B47730"/>
    <w:rsid w:val="00C32D2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61D2CA"/>
  <w14:defaultImageDpi w14:val="300"/>
  <w15:docId w15:val="{74A9CAF9-6308-4E7D-94BD-8F3BC02FE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1" w:lineRule="auto"/>
    </w:pPr>
    <w:rPr>
      <w:rFonts w:ascii="Cambria" w:hAnsi="Cambria"/>
      <w:sz w:val="21"/>
    </w:rPr>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b/>
      <w:bCs/>
      <w:color w:val="1C354C"/>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60" w:after="100" w:line="240" w:lineRule="auto"/>
      <w:contextualSpacing/>
    </w:pPr>
    <w:rPr>
      <w:rFonts w:asciiTheme="majorHAnsi" w:eastAsiaTheme="majorEastAsia" w:hAnsiTheme="majorHAnsi" w:cstheme="majorBidi"/>
      <w:b/>
      <w:color w:val="1C354C"/>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2481</Words>
  <Characters>14143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Lott, David V</cp:lastModifiedBy>
  <cp:revision>2</cp:revision>
  <dcterms:created xsi:type="dcterms:W3CDTF">2026-10-21T16:27:00Z</dcterms:created>
  <dcterms:modified xsi:type="dcterms:W3CDTF">2026-10-21T16:27:00Z</dcterms:modified>
  <cp:category/>
</cp:coreProperties>
</file>