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0052F" w14:textId="77777777" w:rsidR="002C656B" w:rsidRDefault="00000000">
      <w:pPr>
        <w:pStyle w:val="Subtitle"/>
      </w:pPr>
      <w:r>
        <w:t>SHAME AND HONOR  |  MODULE 7</w:t>
      </w:r>
    </w:p>
    <w:p w14:paraId="0713D084" w14:textId="77777777" w:rsidR="002C656B" w:rsidRDefault="00000000">
      <w:pPr>
        <w:pStyle w:val="Title"/>
      </w:pPr>
      <w:r>
        <w:t>The Church as a New Community of Honor</w:t>
      </w:r>
    </w:p>
    <w:p w14:paraId="1E3315C5" w14:textId="77777777" w:rsidR="002C656B" w:rsidRDefault="00000000">
      <w:pPr>
        <w:pStyle w:val="Subtitle"/>
      </w:pPr>
      <w:r>
        <w:t>Mutual regard, the body of Christ, and the transformation of social standing</w:t>
      </w:r>
    </w:p>
    <w:p w14:paraId="28D6FACA" w14:textId="77777777" w:rsidR="002C656B" w:rsidRDefault="00000000">
      <w:pPr>
        <w:pStyle w:val="Heading1"/>
      </w:pPr>
      <w:r>
        <w:t>The Church and the Question of Honor</w:t>
      </w:r>
    </w:p>
    <w:p w14:paraId="5A5FD127" w14:textId="77777777" w:rsidR="002C656B" w:rsidRDefault="00000000">
      <w:r>
        <w:t>The previous modules have established that honor and shame were not incidental emotions in the biblical world. They were social judgments with consequences for identity, belonging, influence, and relationships. Jesus challenged the assumption that those most admired by society were necessarily most approved by God, while Paul grounded the believer’s confidence in God’s reconciling work through Christ. We must now ask what happens when people shaped by these competing understandings of honor gather as the church. Does their new allegiance merely provide a different set of prestigious positions, or does it transform the way members evaluate and treat one another?</w:t>
      </w:r>
    </w:p>
    <w:p w14:paraId="28E7A0BB" w14:textId="77777777" w:rsidR="002C656B" w:rsidRDefault="00000000">
      <w:r>
        <w:t>The New Testament does not demand the abolition of honor. It directs honor toward persons who might otherwise be overlooked and gives it a different foundation. This distinction matters. If we conclude that Christians should never honor anyone, we contradict repeated apostolic instructions to recognize and esteem others. If, however, we import the conventional competition for precedence into the congregation, we miss the social force of the gospel. The church becomes a community in which honor is no longer the exclusive possession of those who can command public admiration. It is deliberately extended to fellow members because they belong to Christ.</w:t>
      </w:r>
    </w:p>
    <w:p w14:paraId="590DFE6C" w14:textId="77777777" w:rsidR="002C656B" w:rsidRDefault="00000000">
      <w:pPr>
        <w:pStyle w:val="Heading2"/>
      </w:pPr>
      <w:r>
        <w:t>The Social Composition of Early Congregations</w:t>
      </w:r>
    </w:p>
    <w:p w14:paraId="08E662EF" w14:textId="77777777" w:rsidR="002C656B" w:rsidRDefault="00000000">
      <w:r>
        <w:t>The earliest Christian assemblies existed within households, cities, and networks already structured by family lineage, citizenship, patronage, wealth, occupation, gender, and legal status. Such distinctions were not imaginary, and conversion did not instantaneously erase their practical consequences. A household with sufficient resources could provide a meeting place and food, while a socially connected patron might sometimes offer protection; a person with little property might depend on daily labor and possess few opportunities for public recognition. Enslaved people and free persons could hear the same apostolic letter while occupying markedly unequal positions under Roman law. The social composition of any particular congregation must be established from available evidence rather than assumed from a single generalized portrait of the Mediterranean world.</w:t>
      </w:r>
    </w:p>
    <w:p w14:paraId="096E1B4E" w14:textId="77777777" w:rsidR="002C656B" w:rsidRDefault="00000000">
      <w:r>
        <w:t>Paul’s discussion of communal meals in 1 Corinthians 11:17–34 makes the problem tangible. The assembly’s eating practices exposed divisions between those who had enough and those who went hungry. The passage does not supply a complete architectural plan of the meeting house or prove every proposed reconstruction of the meal. It does establish that differences in access and behavior were damaging the congregation and contradicting the meaning of their gathering. A practice intended to proclaim the Lord’s death had become an occasion for humiliating fellow believers. Paul therefore insists that recognition of the body must affect how members actually share food and space.</w:t>
      </w:r>
    </w:p>
    <w:p w14:paraId="601A46D1" w14:textId="77777777" w:rsidR="002C656B" w:rsidRDefault="00000000">
      <w:r>
        <w:t>We should resist the temptation to describe the church as a social utopia already free from hierarchy. The apostolic letters repeatedly correct favoritism, rivalry, arrogance, and disregard for vulnerable members precisely because these problems remained real. The church’s new identity is therefore both a theological reality and an ethical calling that must be expressed in concrete conduct.</w:t>
      </w:r>
    </w:p>
    <w:p w14:paraId="6B1BA4B4" w14:textId="77777777" w:rsidR="002C656B" w:rsidRDefault="00000000">
      <w:pPr>
        <w:pStyle w:val="Heading2"/>
      </w:pPr>
      <w:r/>
      <w:r>
        <w:t>Honor Without Rivalry in the Christian Community</w:t>
      </w:r>
    </w:p>
    <w:p w14:paraId="1E8A72FF" w14:textId="77777777" w:rsidR="002C656B" w:rsidRDefault="00000000">
      <w:r>
        <w:t>Romans 12:3–16 offers a particularly rich account of the community shaped by God’s mercy. Paul begins by warning believers against inflated self-assessment and then describes many members with differing functions within one body. Diversity of service is not evidence that some persons possess greater value before God. Gifts are received within grace, and their purpose is the good of others. The passage subsequently joins genuine love, brotherly affection, hospitality, perseverance, and practical care with the deliberate act of giving preference to others in honor (Romans 12:9–13).</w:t>
      </w:r>
    </w:p>
    <w:p w14:paraId="406A5FCD" w14:textId="77777777" w:rsidR="002C656B" w:rsidRDefault="00000000">
      <w:r>
        <w:t>This is a striking inversion of competitive status-seeking. In a contest for prestige, one seeks to be acknowledged ahead of a rival. In Paul’s instruction, believers actively recognize the worth of others. Yet the reversal must not be overstated: the text does not require the church to deny differences in responsibility, maturity, or faithful labor. Romans 12 itself distinguishes varied gifts and forms of service. Its point is that such distinctions do not justify self-exaltation or the withholding of honor from fellow members.</w:t>
      </w:r>
    </w:p>
    <w:p w14:paraId="4BEA1A08" w14:textId="77777777" w:rsidR="002C656B" w:rsidRDefault="00000000">
      <w:r>
        <w:t>Romans 12:16 extends the argument by calling for harmony and warning against haughtiness while directing believers toward association with those of low standing. Interpretations differ over whether the relevant expression emphasizes lowly people, lowly tasks, or both. Either way, the immediate contrast with pride is clear. The congregation must not organize its relationships around the desire to associate only with those who enhance one’s standing. The instruction exposes how easily social selectivity can masquerade as wisdom or spiritual discernment.</w:t>
      </w:r>
    </w:p>
    <w:p w14:paraId="6EF58796" w14:textId="77777777" w:rsidR="002C656B" w:rsidRDefault="00000000">
      <w:pPr>
        <w:pStyle w:val="Heading2"/>
      </w:pPr>
      <w:r>
        <w:t>The Body and the Honor of Its Least Celebrated Members</w:t>
      </w:r>
    </w:p>
    <w:p w14:paraId="5C5F67CC" w14:textId="77777777" w:rsidR="002C656B" w:rsidRDefault="00000000">
      <w:r>
        <w:t>In 1 Corinthians 12:12–27 Paul employs the body metaphor to address the congregation’s competing judgments of importance. The members differ in function, but none can claim self-sufficiency. The eye cannot dismiss the hand as unnecessary, nor can the head deny the need for the feet (1 Corinthians 12:21). The analogy is not an argument that every task is identical. Rather, it is an argument that differences in visible function do not authorize contempt, exclusion, or a hierarchy of human worth.</w:t>
      </w:r>
    </w:p>
    <w:p w14:paraId="531DE2F0" w14:textId="77777777" w:rsidR="002C656B" w:rsidRDefault="00000000">
      <w:r>
        <w:t>The language of honor becomes explicit when Paul discusses parts considered less honorable or less presentable (1 Corinthians 12:22–24). God’s arrangement of the body grants special concern to what lacks it, so that the members will care for one another rather than fracture into competing groups. The point is not simply that modest individuals should feel better about themselves. The entire congregation must change its practices of recognition. Those who are habitually ignored are not dispensable; their treatment reveals whether the community has understood the body it claims to be.</w:t>
      </w:r>
    </w:p>
    <w:p w14:paraId="3C97E542" w14:textId="77777777" w:rsidR="002C656B" w:rsidRDefault="00000000">
      <w:r>
        <w:t>This passage also requires a careful distinction between dignity and office. Some believers are entrusted with teaching, leadership, or other responsibilities, and the New Testament elsewhere calls congregations to respect faithful labor. Nevertheless, office does not create a separate class of Christians whose interests automatically outweigh the rest. The body metaphor resists both the arrogance of prominent members and the despair of members who assume their contributions are worthless.</w:t>
      </w:r>
    </w:p>
    <w:p w14:paraId="2A42E72D" w14:textId="77777777" w:rsidR="002C656B" w:rsidRDefault="00000000">
      <w:pPr>
        <w:pStyle w:val="Heading2"/>
      </w:pPr>
      <w:r>
        <w:t>James and the Sin of Partiality</w:t>
      </w:r>
    </w:p>
    <w:p w14:paraId="63AB66C9" w14:textId="77777777" w:rsidR="002C656B" w:rsidRDefault="00000000">
      <w:r>
        <w:t>James 2:1–13 depicts two people entering the assembly and receiving different treatment because of their appearance and apparent economic standing. The text does not explicitly establish whether either person is already a believer or a visitor in the modern congregational sense. One is visibly wealthy; the other is poor. The preferential welcome given to the wealthy visitor reveals a congregation importing worldly status judgments into its assembly. James does not merely recommend more courteous hospitality. He identifies partiality as incompatible with faith in the glorious Lord Jesus Christ and with the obligation to love one’s neighbor.</w:t>
      </w:r>
    </w:p>
    <w:p w14:paraId="41932B20" w14:textId="77777777" w:rsidR="002C656B" w:rsidRDefault="00000000">
      <w:r>
        <w:lastRenderedPageBreak/>
        <w:t>The force of the illustration lies in the community’s act of assigning honor. Clothing and wealth become grounds for granting one person a desirable place while another is treated as less worthy. This is not evidence that every prosperous person was condemned by James or that poverty automatically conferred moral virtue. His criticism concerns the unjust evaluation of people by outward indicators and the unequal treatment that follows. The text also recognizes the actual vulnerability of the poor and the ways wealth could be joined to social and legal power.</w:t>
      </w:r>
    </w:p>
    <w:p w14:paraId="45EA3900" w14:textId="77777777" w:rsidR="002C656B" w:rsidRDefault="00000000">
      <w:r>
        <w:t>James provides an essential complement to Paul. Romans and Corinthians describe how members should extend honor; James exposes what happens when they do the opposite. The resulting shame is not merely an injured feeling but an enacted judgment of lesser worth. Modern churches should therefore ask not only whether they verbally affirm equality in Christ, but whether their seating, hospitality, decision-making, friendships, and allocation of attention tell the same story.</w:t>
      </w:r>
    </w:p>
    <w:p w14:paraId="45998EB0" w14:textId="77777777" w:rsidR="002C656B" w:rsidRDefault="00000000">
      <w:pPr>
        <w:pStyle w:val="Heading2"/>
      </w:pPr>
      <w:r>
        <w:t>Christ’s Humility and the Shape of Communal Life</w:t>
      </w:r>
    </w:p>
    <w:p w14:paraId="2F03E00A" w14:textId="77777777" w:rsidR="002C656B" w:rsidRDefault="00000000">
      <w:r>
        <w:t>Philippians 2:1–11 joins the unity of believers to the pattern of Christ’s self-giving. Paul opposes selfish ambition and empty conceit, calls for regard for others, and directs attention to Christ’s willing humiliation and God’s exaltation of Him. The passage is not a simple command to become socially invisible or to surrender every legitimate responsibility. It sets before the church a decisive contrast between grasping for advantage and acting for the good of others.</w:t>
      </w:r>
    </w:p>
    <w:p w14:paraId="42B69AE7" w14:textId="77777777" w:rsidR="002C656B" w:rsidRDefault="00000000">
      <w:r>
        <w:t>The cultural resonance is considerable. Public esteem was often pursued through benefaction, achievement, and recognized position. Christ’s example challenges any account of greatness that cannot accommodate voluntary service and costly obedience. Yet the passage must first be read as a confession about Christ and His redemptive mission, not merely as an illustration of good manners. The ethical exhortation flows from who Christ is and what He has done. His exaltation belongs to God’s decisive action and cannot be reduced to the eventual popularity of a humble individual.</w:t>
      </w:r>
    </w:p>
    <w:p w14:paraId="72615D64" w14:textId="77777777" w:rsidR="002C656B" w:rsidRDefault="00000000">
      <w:r>
        <w:t>The related teachings of Jesus about greatness and service (Mark 10:42–45; Luke 22:24–27) make the same basic point while retaining their own literary settings. Leaders are not forbidden to lead, but leadership is stripped of any entitlement to domination. The test of honorable leadership becomes its character and service, rather than its capacity to demand deference.</w:t>
      </w:r>
    </w:p>
    <w:p w14:paraId="1C48BE7D" w14:textId="77777777" w:rsidR="002C656B" w:rsidRDefault="00000000">
      <w:pPr>
        <w:pStyle w:val="Heading2"/>
      </w:pPr>
      <w:r>
        <w:t>Patronage, Generosity, and the Danger of Dependence</w:t>
      </w:r>
    </w:p>
    <w:p w14:paraId="2DC09050" w14:textId="77777777" w:rsidR="002C656B" w:rsidRDefault="00000000">
      <w:r>
        <w:t>Early Christian communities necessarily operated in a world of benefactors, hosts, and reciprocal obligations. Wealthy believers could supply resources that made ministry possible. The New Testament does not treat every gift from a person of means as corrupt. Paul expresses gratitude for material partnership (Philippians 4:10–20), and the churches are urged to share resources with those in need (2 Corinthians 8–9). Generosity is a real good, not something to be dismissed because ancient benefaction could carry expectations of recognition.</w:t>
      </w:r>
    </w:p>
    <w:p w14:paraId="4F6D0ACE" w14:textId="77777777" w:rsidR="002C656B" w:rsidRDefault="00000000">
      <w:r>
        <w:t>The challenge is that giving can become a means of control. When benefactors expect preferential access, public acclaim, or unquestioning loyalty in exchange for support, the congregation risks reproducing the status competition it is called to resist. Paul’s collection for the saints emphasizes willingness, integrity, and concern for the needs of others; it should not be collapsed into an attempt to secure personal clients. Similarly, the honor owed to faithful workers does not authorize leaders to exploit those who depend upon them.</w:t>
      </w:r>
    </w:p>
    <w:p w14:paraId="25444E17" w14:textId="77777777" w:rsidR="002C656B" w:rsidRDefault="00000000">
      <w:r>
        <w:t xml:space="preserve">Here a cultural study helps without supplying a single formula for every case. Ancient patronage varied across settings, and not every relationship between giver and recipient was identical. The governing biblical question is whether resources are being used to build up the body or to secure a superior place </w:t>
      </w:r>
      <w:r>
        <w:lastRenderedPageBreak/>
        <w:t>within it. Christian generosity should strengthen mutual care rather than make the vulnerable pay for help with their dignity.</w:t>
      </w:r>
    </w:p>
    <w:p w14:paraId="4874863F" w14:textId="77777777" w:rsidR="002C656B" w:rsidRDefault="00000000">
      <w:pPr>
        <w:pStyle w:val="Heading2"/>
      </w:pPr>
      <w:r>
        <w:t>Households, Status, and the Limits of a Simple Equality Claim</w:t>
      </w:r>
    </w:p>
    <w:p w14:paraId="394EFA13" w14:textId="77777777" w:rsidR="002C656B" w:rsidRDefault="00000000">
      <w:r>
        <w:t>The household instructions in Ephesians 5:21–6:9 and Colossians 3:18–4:1 show that Christian communities continued to inhabit households with socially differentiated roles. These passages have been interpreted in sharply different ways, particularly concerning marriage, slavery, authority, and reciprocity. It would be historically inaccurate to claim that the apostolic writers simply dissolved all Roman household structures. It would be equally careless to assume that their commands merely endorsed every prevailing arrangement without qualification.</w:t>
      </w:r>
    </w:p>
    <w:p w14:paraId="25DC86EB" w14:textId="77777777" w:rsidR="002C656B" w:rsidRDefault="00000000">
      <w:r>
        <w:t>The letters address people occupying different social positions and place obligations upon those with power as well as those subject to it. In Ephesians, the instruction about submitting to one another (5:21) precedes the household instructions, although interpreters differ over the syntactical relationship between 5:21 and 5:22 and the implications for the passage's account of marriage; and masters are reminded that they too answer to a Master in heaven who shows no partiality (Ephesians 5:21; 6:9). Colossians likewise reminds masters that they are accountable to the heavenly Master (Colossians 4:1). These statements do not erase the legal institution of slavery, nor should they be invoked to excuse it. They do undermine the assumption that social power is an independent measure of moral worth or exemption from divine judgment.</w:t>
      </w:r>
    </w:p>
    <w:p w14:paraId="18309AF3" w14:textId="77777777" w:rsidR="002C656B" w:rsidRDefault="00000000">
      <w:r>
        <w:t>The most defensible reading distinguishes the historical instructions given within existing institutions from the broader theological claims about membership in Christ. Galatians 3:26–29 announces a common standing and inheritance in Christ across major identity divisions. That claim is profound, but it should not be treated as a claim that every legal or social distinction disappeared immediately in practice. The tension between proclaimed unity and persistent inequality demands careful exposition rather than anachronistic triumphalism.</w:t>
      </w:r>
    </w:p>
    <w:p w14:paraId="1BB50AE3" w14:textId="77777777" w:rsidR="002C656B" w:rsidRDefault="00000000">
      <w:pPr>
        <w:pStyle w:val="Heading2"/>
      </w:pPr>
      <w:r>
        <w:t>Honoring Leaders Without Creating a New Elite</w:t>
      </w:r>
    </w:p>
    <w:p w14:paraId="0B6F5932" w14:textId="77777777" w:rsidR="002C656B" w:rsidRDefault="00000000">
      <w:r>
        <w:t>The New Testament instructs believers to esteem those who labor among them and to recognize faithful leadership (1 Thessalonians 5:12–13; 1 Timothy 5:17). Such passages prevent us from turning the reversal of honor into a refusal to acknowledge diligence, sacrifice, or responsibility. At the same time, leadership is repeatedly placed under moral scrutiny. First Peter 5:1–4 warns shepherds against domineering conduct, and James 3:1 cautions teachers concerning the seriousness of their accountability.</w:t>
      </w:r>
    </w:p>
    <w:p w14:paraId="49BD8584" w14:textId="77777777" w:rsidR="002C656B" w:rsidRDefault="00000000">
      <w:r>
        <w:t>Honor within the church is therefore neither indiscriminate flattery nor a fixed privilege attached to title. It is a recognition of persons as fellow members of Christ’s body and, where appropriate, an appreciation of service faithfully rendered. When recognition becomes a tool for protecting leaders from correction or silencing those they serve, it has departed from the pattern of Christ. When legitimate labor is treated with contempt, the community likewise fails to practice the mutual regard commanded by the apostles.</w:t>
      </w:r>
    </w:p>
    <w:p w14:paraId="06B7F532" w14:textId="77777777" w:rsidR="002C656B" w:rsidRDefault="00000000">
      <w:pPr>
        <w:pStyle w:val="Heading2"/>
      </w:pPr>
      <w:r>
        <w:t>Theological Synthesis and Contemporary Application</w:t>
      </w:r>
    </w:p>
    <w:p w14:paraId="5A462347" w14:textId="77777777" w:rsidR="002C656B" w:rsidRDefault="00000000">
      <w:r>
        <w:t>The early church was called to embody a social reality that contradicted many familiar measures of standing. Its members could not choose their value on the basis of public admiration, economic advantage, inherited prestige, or prominence within the assembly. Their shared relationship to Christ required new patterns of hospitality, material care, recognition, and accountability. This did not mean that every believer performed the same function or that the congregation no longer needed leaders. It meant that differences of function could not be converted into differences of fundamental dignity before God.</w:t>
      </w:r>
    </w:p>
    <w:p w14:paraId="4FC449C3" w14:textId="77777777" w:rsidR="002C656B" w:rsidRDefault="00000000">
      <w:r>
        <w:lastRenderedPageBreak/>
        <w:t>For contemporary believers, the most revealing questions may be practical. Whose arrival attracts attention? Whose absence is noticed? Who receives patient listening, and who is interrupted or overlooked? Do financial contributions purchase influence? Are the quiet acts of service on which a congregation depends regarded as less valuable than public roles? These questions are applications, not claims that the New Testament was originally written about modern church programs. They arise because the underlying temptation to confuse visibility with worth remains recognizable.</w:t>
      </w:r>
    </w:p>
    <w:p w14:paraId="384E980E" w14:textId="77777777" w:rsidR="002C656B" w:rsidRDefault="00000000">
      <w:r>
        <w:t>The church honors Christ not by pretending that social distinctions have vanished, but by refusing to allow those distinctions to determine who deserves care, welcome, and respect. The God who vindicated the publicly shamed Messiah calls His people to see one another through the reality of their shared life in Him. This prepares the final module, where we will examine the continuing power of honor and shame in contemporary life without assuming that modern Western experience simply reproduces the first-century Mediterranean world.</w:t>
      </w:r>
    </w:p>
    <w:p w14:paraId="3A2C1F3D" w14:textId="77777777" w:rsidR="002C656B" w:rsidRDefault="00000000">
      <w:pPr>
        <w:pStyle w:val="Heading2"/>
      </w:pPr>
      <w:r>
        <w:t>Selected Bibliography (SBLHS 2)</w:t>
      </w:r>
    </w:p>
    <w:p>
      <w:pPr>
        <w:spacing w:after="100"/>
        <w:ind w:left="403" w:hanging="403"/>
      </w:pPr>
      <w:r>
        <w:t xml:space="preserve">Barclay, John M. G. </w:t>
      </w:r>
      <w:r>
        <w:rPr>
          <w:i/>
        </w:rPr>
        <w:t>Paul and the Gift</w:t>
      </w:r>
      <w:r>
        <w:t>. Grand Rapids: Eerdmans, 2015.</w:t>
      </w:r>
    </w:p>
    <w:p>
      <w:pPr>
        <w:spacing w:after="100"/>
        <w:ind w:left="403" w:hanging="403"/>
      </w:pPr>
      <w:r>
        <w:t xml:space="preserve">deSilva, David A. </w:t>
      </w:r>
      <w:r>
        <w:rPr>
          <w:i/>
        </w:rPr>
        <w:t>Honor, Patronage, Kinship, &amp; Purity: Unlocking New Testament Culture</w:t>
      </w:r>
      <w:r>
        <w:t>. 2nd ed. Downers Grove, IL: IVP Academic, 2022.</w:t>
      </w:r>
    </w:p>
    <w:p>
      <w:pPr>
        <w:spacing w:after="100"/>
        <w:ind w:left="403" w:hanging="403"/>
      </w:pPr>
      <w:r>
        <w:t xml:space="preserve">Meeks, Wayne A. </w:t>
      </w:r>
      <w:r>
        <w:rPr>
          <w:i/>
        </w:rPr>
        <w:t>The First Urban Christians: The Social World of the Apostle Paul</w:t>
      </w:r>
      <w:r>
        <w:t>. New Haven: Yale University Press, 1983.</w:t>
      </w:r>
    </w:p>
    <w:p>
      <w:pPr>
        <w:spacing w:after="100"/>
        <w:ind w:left="403" w:hanging="403"/>
      </w:pPr>
      <w:r>
        <w:t xml:space="preserve">Winter, Bruce W. </w:t>
      </w:r>
      <w:r>
        <w:rPr>
          <w:i/>
        </w:rPr>
        <w:t>After Paul Left Corinth: The Influence of Secular Ethics and Social Change</w:t>
      </w:r>
      <w:r>
        <w:t>. Grand Rapids: Eerdmans, 2001.</w:t>
      </w:r>
    </w:p>
    <w:p w14:paraId="638AF915" w14:textId="77777777" w:rsidR="002C656B" w:rsidRDefault="00000000">
      <w:r>
        <w:t>Key passages: Romans 12:3–16; 1 Corinthians 11:17–34; 12:12–27; James 2:1–13; Philippians 2:1–11; Galatians 3:26–29; Ephesians 5:21–6:9; 1 Peter 5:1–4.</w:t>
      </w:r>
    </w:p>
    <w:p>
      <w:pPr>
        <w:spacing w:before="200"/>
      </w:pPr>
      <w:r>
        <w:t>Scripture references in this module are paraphrased rather than quoted verbatim. The New American Standard Bible (1977) is the designated translation for any direct quotations introduced in a future edition.</w:t>
      </w:r>
    </w:p>
    <w:sectPr w:rsidR="002C656B" w:rsidSect="00034616">
      <w:footerReference w:type="default" r:id="rId8"/>
      <w:headerReference w:type="default" r:id="rId11"/>
      <w:pgSz w:w="12240" w:h="15840"/>
      <w:pgMar w:top="1123" w:right="1325" w:bottom="1051" w:left="132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1D202" w14:textId="77777777" w:rsidR="00E238A4" w:rsidRDefault="00E238A4">
      <w:pPr>
        <w:spacing w:after="0" w:line="240" w:lineRule="auto"/>
      </w:pPr>
      <w:r>
        <w:separator/>
      </w:r>
    </w:p>
  </w:endnote>
  <w:endnote w:type="continuationSeparator" w:id="0">
    <w:p w14:paraId="416B3200" w14:textId="77777777" w:rsidR="00E238A4" w:rsidRDefault="00E238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5F8C6" w14:textId="77777777" w:rsidR="002C656B" w:rsidRDefault="00000000">
    <w:pPr>
      <w:pStyle w:val="Footer"/>
      <w:jc w:val="right"/>
    </w:pPr>
    <w:r>
      <w:rPr>
        <w:sz w:val="16"/>
      </w:rPr>
      <w:t>Shame and Honor • Module 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558A5" w14:textId="77777777" w:rsidR="00E238A4" w:rsidRDefault="00E238A4">
      <w:pPr>
        <w:spacing w:after="0" w:line="240" w:lineRule="auto"/>
      </w:pPr>
      <w:r>
        <w:separator/>
      </w:r>
    </w:p>
  </w:footnote>
  <w:footnote w:type="continuationSeparator" w:id="0">
    <w:p w14:paraId="1077E09C" w14:textId="77777777" w:rsidR="00E238A4" w:rsidRDefault="00E238A4">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sz w:val="16"/>
      </w:rPr>
      <w:t>SHAME AND HONOR  |  DAVID V. LOTT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85332722">
    <w:abstractNumId w:val="8"/>
  </w:num>
  <w:num w:numId="2" w16cid:durableId="982392619">
    <w:abstractNumId w:val="6"/>
  </w:num>
  <w:num w:numId="3" w16cid:durableId="127628084">
    <w:abstractNumId w:val="5"/>
  </w:num>
  <w:num w:numId="4" w16cid:durableId="1572085312">
    <w:abstractNumId w:val="4"/>
  </w:num>
  <w:num w:numId="5" w16cid:durableId="1150637675">
    <w:abstractNumId w:val="7"/>
  </w:num>
  <w:num w:numId="6" w16cid:durableId="425661517">
    <w:abstractNumId w:val="3"/>
  </w:num>
  <w:num w:numId="7" w16cid:durableId="958145711">
    <w:abstractNumId w:val="2"/>
  </w:num>
  <w:num w:numId="8" w16cid:durableId="974144365">
    <w:abstractNumId w:val="1"/>
  </w:num>
  <w:num w:numId="9" w16cid:durableId="903877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C656B"/>
    <w:rsid w:val="00326F90"/>
    <w:rsid w:val="00370095"/>
    <w:rsid w:val="009F08AB"/>
    <w:rsid w:val="00AA1D8D"/>
    <w:rsid w:val="00B47730"/>
    <w:rsid w:val="00CB0664"/>
    <w:rsid w:val="00E238A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20A3C5"/>
  <w14:defaultImageDpi w14:val="300"/>
  <w15:docId w15:val="{B1CCB138-8676-4635-BB38-168B0FD89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9" w:lineRule="auto"/>
    </w:pPr>
    <w:rPr>
      <w:rFonts w:ascii="Cambria" w:hAnsi="Cambria"/>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C3C55"/>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2521</Words>
  <Characters>14376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16864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Lott, David V</cp:lastModifiedBy>
  <cp:revision>2</cp:revision>
  <dcterms:created xsi:type="dcterms:W3CDTF">2026-10-21T20:37:00Z</dcterms:created>
  <dcterms:modified xsi:type="dcterms:W3CDTF">2026-10-21T20:37:00Z</dcterms:modified>
  <cp:category/>
</cp:coreProperties>
</file>