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BC3D0" w14:textId="77777777" w:rsidR="00B057A5" w:rsidRDefault="00000000">
      <w:pPr>
        <w:pStyle w:val="Subtitle"/>
      </w:pPr>
      <w:r>
        <w:t xml:space="preserve">SHAME AND </w:t>
      </w:r>
      <w:proofErr w:type="gramStart"/>
      <w:r>
        <w:t>HONOR  |</w:t>
      </w:r>
      <w:proofErr w:type="gramEnd"/>
      <w:r>
        <w:t xml:space="preserve">  MODULE 8</w:t>
      </w:r>
    </w:p>
    <w:p w14:paraId="5063CA91" w14:textId="77777777" w:rsidR="00B057A5" w:rsidRDefault="00000000">
      <w:pPr>
        <w:pStyle w:val="Title"/>
      </w:pPr>
      <w:r>
        <w:t>Shame and Honor for the Believer Today</w:t>
      </w:r>
    </w:p>
    <w:p w14:paraId="1F5F0BDF" w14:textId="77777777" w:rsidR="00B057A5" w:rsidRDefault="00000000">
      <w:pPr>
        <w:pStyle w:val="Subtitle"/>
      </w:pPr>
      <w:r>
        <w:t>Recovering the world of Scripture without confusing its culture with our own</w:t>
      </w:r>
    </w:p>
    <w:p w14:paraId="1C5732C5" w14:textId="77777777" w:rsidR="00B057A5" w:rsidRDefault="00000000">
      <w:pPr>
        <w:pStyle w:val="Heading1"/>
      </w:pPr>
      <w:r>
        <w:t>Introduction: Returning Across the Cultural Bridge</w:t>
      </w:r>
    </w:p>
    <w:p w14:paraId="5843715A" w14:textId="77777777" w:rsidR="00B057A5" w:rsidRDefault="00000000">
      <w:r>
        <w:t>We began this study with a simple conviction: Scripture speaks truthfully to believers today, but it first spoke within a world whose social assumptions were not identical to ours. Honor and shame were not incidental features of that world. They helped organize household relationships, public reputation, religious belonging, civic authority, and the way communities judged conduct. When biblical writers addressed confidence, humiliation, boasting, recognition, and vindication, their audiences could hear resonances that a modern reader may easily miss. Recovering those resonances does not add a hidden message to Scripture. It helps us listen more accurately to what its words communicated in their original settings.</w:t>
      </w:r>
    </w:p>
    <w:p w14:paraId="2E6075F8" w14:textId="77777777" w:rsidR="00B057A5" w:rsidRDefault="00000000">
      <w:r>
        <w:t>The challenge at the conclusion of our investigation is not to import every ancient social custom into Christian practice. Nor is it to announce that the first-century Mediterranean was one undifferentiated honor-shame society. Jewish communities, Greek cities, Roman institutions, rural households, and assemblies of believers differed in meaningful ways. Their members also differed by gender, wealth, legal standing, occupation, and degree of social security. The historian's task is to identify the specific background that illuminates a passage; the interpreter's task is to establish how the passage itself uses that background. Only then can we consider how its truth crosses the distance between their world and ours.</w:t>
      </w:r>
    </w:p>
    <w:p w14:paraId="459A70A1" w14:textId="77777777" w:rsidR="00B057A5" w:rsidRDefault="00000000">
      <w:pPr>
        <w:pStyle w:val="Heading2"/>
      </w:pPr>
      <w:r>
        <w:t>Our Modern Language of Shame: Similarities and Differences</w:t>
      </w:r>
    </w:p>
    <w:p w14:paraId="50DF998B" w14:textId="77777777" w:rsidR="00B057A5" w:rsidRDefault="00000000">
      <w:r>
        <w:t>In contemporary Western speech, shame often refers to an inward sense of exposure, inadequacy, or unworthiness. It can be experienced privately, even when no one else knows the event that produced it. Ancient texts can certainly describe inward distress, but their language of shame frequently also concerns an outward condition: being disgraced before witnesses, losing standing, being defeated by an adversary, or discovering that one's trust has been publicly misplaced. The two dimensions overlap, but they should not be collapsed. A person might feel ashamed despite having committed no wrong, while another might suffer public disgrace for acting faithfully.</w:t>
      </w:r>
    </w:p>
    <w:p w14:paraId="2D124728" w14:textId="77777777" w:rsidR="00B057A5" w:rsidRDefault="00000000">
      <w:r>
        <w:t>This distinction matters when reading biblical promises that those who trust God will not be put to shame. A modern reader may initially hear an assurance that faith will prevent painful emotions or unmet expectations. Yet passages such as Psalm 25, Isaiah 28:16, Romans 9:33, and Romans 10:11 direct attention toward the reliability of the one trusted and the final outcome of allegiance to Him. Their contexts must each be examined on their own terms, but together they warn us against reducing shame to an interior psychological state. The promise is not that believers will never blush, grieve, or be misunderstood. It is that reliance upon God's provision will not ultimately be exposed as a fatal mistake.</w:t>
      </w:r>
    </w:p>
    <w:p w14:paraId="3140A552" w14:textId="77777777" w:rsidR="00B057A5" w:rsidRDefault="00000000">
      <w:r>
        <w:t>Modern psychology can contribute useful descriptions of emotional experience, especially when distinguishing guilt over conduct from a broader judgment about the self. Nevertheless, those categories cannot simply be projected backward onto Hebrew and Greek vocabulary. Biblical texts sometimes address wrongdoing and its consequences, sometimes public hostility, sometimes moral conscience, and sometimes the vindication of those who suffer unjustly. A responsible exposition determines which of these is in view before drawing pastoral conclusions.</w:t>
      </w:r>
    </w:p>
    <w:p w14:paraId="181301D3" w14:textId="77777777" w:rsidR="00B057A5" w:rsidRDefault="00000000">
      <w:pPr>
        <w:pStyle w:val="Heading2"/>
      </w:pPr>
      <w:r>
        <w:lastRenderedPageBreak/>
        <w:t>The New Arenas of Public Honor</w:t>
      </w:r>
    </w:p>
    <w:p w14:paraId="2C39B69F" w14:textId="77777777" w:rsidR="00B057A5" w:rsidRDefault="00000000">
      <w:r>
        <w:t>Although many modern Western societies place a strong emphasis upon individual autonomy, public reputation still exercises considerable power. Educational credentials, professional advancement, financial achievement, family expectations, political associations, and digital visibility can all become measures by which people evaluate themselves and others. Social media accelerates the circulation of praise and contempt, sometimes placing a person’s reputation before an audience far larger than a local village gathering. This is an analogy of public exposure, not evidence that ancient audiences were uniformly small or locally confined. These are analogies, not historical equivalents: the economic, legal, technological, and familial structures are profoundly different. Yet the persistent human desire for approval helps us understand why biblical teaching about the source of true honor remains relevant.</w:t>
      </w:r>
    </w:p>
    <w:p w14:paraId="3D1FC9BA" w14:textId="77777777" w:rsidR="00B057A5" w:rsidRDefault="00000000">
      <w:r>
        <w:t xml:space="preserve">We should be cautious, however, about drawing the easy conclusion that all concern for reputation is sinful. Scripture repeatedly commends honorable conduct, trustworthy speech, responsible leadership, and consideration for the judgment of others. The question is not whether a believer may possess a good reputation; it is whether reputation has become the ultimate source of identity or a substitute for obedience to God. Jesus' warnings about religious acts performed to attract public admiration (Matthew 6:1–18) do not condemn generosity, prayer, or fasting. They challenge the decision to make spectators rather than the </w:t>
      </w:r>
      <w:proofErr w:type="gramStart"/>
      <w:r>
        <w:t>Father</w:t>
      </w:r>
      <w:proofErr w:type="gramEnd"/>
      <w:r>
        <w:t xml:space="preserve"> the decisive audience.</w:t>
      </w:r>
    </w:p>
    <w:p w14:paraId="078AC7DB" w14:textId="77777777" w:rsidR="00B057A5" w:rsidRDefault="00000000">
      <w:pPr>
        <w:pStyle w:val="Heading2"/>
      </w:pPr>
      <w:r>
        <w:t>The Cross and the Reversal of Our Standards</w:t>
      </w:r>
    </w:p>
    <w:p w14:paraId="7221C385" w14:textId="77777777" w:rsidR="00B057A5" w:rsidRDefault="00000000">
      <w:r>
        <w:t>The cross remains the sharpest challenge to the assumption that public disgrace proves moral failure. Roman crucifixion was a degrading form of execution, and the Gospel narratives depict Jesus as mocked, exposed to hostile judgment, and treated as a defeated claimant to kingship. Yet the New Testament proclaims that the crucified Jesus was obedient to the Father and was raised from the dead. The contrast is not a sentimental claim that humiliation is secretly pleasant. The suffering and shame were real. The claim is that the visible judgment rendered by human authorities did not determine the truth about Jesus.</w:t>
      </w:r>
    </w:p>
    <w:p w14:paraId="1456B08B" w14:textId="77777777" w:rsidR="00B057A5" w:rsidRDefault="00000000">
      <w:r>
        <w:t>This is why Christians must resist using prosperity, prominence, popularity, or institutional success as straightforward evidence of divine approval. Those things may accompany faithful service, but none is a reliable final verdict. Equally, suffering or marginalization does not automatically prove righteousness. A person may suffer for wrongdoing, poor judgment, or faithful witness; the cause matters. First Peter 2:19–25 and 4:12–16 distinguish unjust suffering from consequences deserved for misconduct. Our application must preserve that moral distinction rather than treating every experience of criticism as persecution.</w:t>
      </w:r>
    </w:p>
    <w:p w14:paraId="5CBF7546" w14:textId="77777777" w:rsidR="00B057A5" w:rsidRDefault="00000000">
      <w:pPr>
        <w:pStyle w:val="Heading2"/>
      </w:pPr>
      <w:r>
        <w:t>Hope That Will Not Finally Shame Us</w:t>
      </w:r>
    </w:p>
    <w:p w14:paraId="3802E1C9" w14:textId="77777777" w:rsidR="00B057A5" w:rsidRDefault="00000000">
      <w:r>
        <w:t>Romans 5:1–11 brings the historical inquiry to its theological center. Paul's assurance that Hope does not put the believer to shame belongs to an argument beginning with justification, peace with God, access to grace, and confidence in God's glory. The sequence includes suffering, perseverance, tested character, and Hope, but the foundation of assurance is not the believer's ability to maintain an optimistic temperament. Paul points to God's love made known through the Spirit and demonstrated in Christ's death for those who could not establish their own righteousness.</w:t>
      </w:r>
    </w:p>
    <w:p w14:paraId="619CB050" w14:textId="77777777" w:rsidR="00B057A5" w:rsidRDefault="00000000">
      <w:r>
        <w:t xml:space="preserve">The distinction is especially important in pastoral practice. Christians may hope for a particular medical outcome, restoration of a relationship, a financial rescue, or the end of a difficult season. When the desired outcome does not occur, the disappointment is genuine and should not be dismissed. Romans 5:5 does not promise that every personal expectation will be realized. The Hope Paul describes is anchored in God's reconciling action and the future secured through Christ. The personification of Hope intensifies the promise rhetorically: Hope will not become the agent of the believer's ultimate disgrace, because the God upon whom Hope rests is faithful. Module 6 also develops the author's further Christological proposal that </w:t>
      </w:r>
      <w:r>
        <w:lastRenderedPageBreak/>
        <w:t>Hope may represent Christ rhetorically; that identification remains an argument to demonstrate from Romans 5–8 rather than a meaning established by the noun alone.</w:t>
      </w:r>
    </w:p>
    <w:p w14:paraId="5324D42A" w14:textId="77777777" w:rsidR="00B057A5" w:rsidRDefault="00000000">
      <w:r>
        <w:t>This understanding also guards against an opposite mistake. If the passage is read only as a promise about a distant final verdict, we may overlook its present significance. Paul speaks of peace with God, access to grace, and the Spirit's ministry now, while still anticipating future glory. The believer's assurance is presently meaningful precisely because it is oriented toward God's promised completion. Present confidence and future vindication belong together without becoming identical.</w:t>
      </w:r>
    </w:p>
    <w:p w14:paraId="46EC26B3" w14:textId="77777777" w:rsidR="00B057A5" w:rsidRDefault="00000000">
      <w:pPr>
        <w:pStyle w:val="Heading2"/>
      </w:pPr>
      <w:r>
        <w:t>The Church Must Not Reproduce the World's Ranking System</w:t>
      </w:r>
    </w:p>
    <w:p w14:paraId="6C9579E4" w14:textId="77777777" w:rsidR="00B057A5" w:rsidRDefault="00000000">
      <w:r>
        <w:t>Our preceding module considered the church as a new community of honor. The application now becomes unavoidable. A congregation cannot affirm that standing before God rests upon grace while treating wealthy donors, impressive speakers, influential families, or socially prominent members as inherently more worthy of dignity than others. James 2:1–13 directly challenges favoritism toward the prosperous. First Corinthians 12:12–27 insists that members who appear less impressive are indispensable and receive deliberate care. Romans 12:9–16 joins mutual affection, honor, humility, and solidarity within the community.</w:t>
      </w:r>
    </w:p>
    <w:p w14:paraId="3D720A01" w14:textId="77777777" w:rsidR="00B057A5" w:rsidRDefault="00000000">
      <w:r>
        <w:t>These texts do not require that every person occupy the same office, possess identical gifts, or exercise interchangeable responsibilities. The New Testament recognizes differing functions, accountability, and the need for responsible leadership. But difference in function must not be converted into a hierarchy of human worth. Nor should service become another competition for applause. Philippians 2:1–11 directs believers toward the mind of Christ, whose humility is not a theatrical strategy for later self-promotion but a pattern of self-giving obedience. The church's honor is expressed in how it regards and serves those who cannot enhance its public prestige.</w:t>
      </w:r>
    </w:p>
    <w:p w14:paraId="5AF68AAC" w14:textId="77777777" w:rsidR="00B057A5" w:rsidRDefault="00000000">
      <w:r>
        <w:t>A further implication concerns the handling of wrongdoing. A community that prizes honor must not conceal abuse, intimidate victims, or suppress truthful accountability merely to protect its public image. Biblical concern for reputation does not supersede justice, truth, or care for the vulnerable. Matthew 18:15–17, 1 Corinthians 5, and the pastoral requirements for leaders each address different circumstances, and none should be used as a blanket excuse for secrecy. Protecting the institution's standing at the expense of injured people would reproduce the very confusion between human honor and God's judgment that this study has sought to expose.</w:t>
      </w:r>
    </w:p>
    <w:p w14:paraId="3F32DF2C" w14:textId="77777777" w:rsidR="00B057A5" w:rsidRDefault="00000000">
      <w:pPr>
        <w:pStyle w:val="Heading2"/>
      </w:pPr>
      <w:r>
        <w:t>Reading Familiar Passages with Better Questions</w:t>
      </w:r>
    </w:p>
    <w:p w14:paraId="1DA86A09" w14:textId="77777777" w:rsidR="00B057A5" w:rsidRDefault="00000000">
      <w:r>
        <w:t>The most lasting contribution of cultural study may be the questions it teaches us to ask. When Jesus addresses guests seeking the places of honor at a banquet (Luke 14:7–11), we should ask what seating communicated in that setting before converting the account into a general lesson about modest manners. When Jesus eats with those regarded as sinners, we should examine what table fellowship signaled and why the encounter drew objection, without assuming that all Jews shared one attitude toward every meal. When Paul discusses boasting, we should ask whose judgment is being sought, what grounds are claimed for standing, and whether his argument concerns social rank, righteousness before God, or both.</w:t>
      </w:r>
    </w:p>
    <w:p w14:paraId="60F8A6F2" w14:textId="77777777" w:rsidR="00B057A5" w:rsidRDefault="00000000">
      <w:r>
        <w:t>Likewise, when the Gospels recount Jesus' disputes with particular Pharisees or other authorities, the interpreter must distinguish the positions of the people actually present from later stereotypes about entire religious groups. First-century Judaism was internally diverse, and the Gospel writers themselves preserve encounters involving agreement, curiosity, hostility, and sincere discipleship. Honor-shame analysis may illuminate a public controversy, but it does not replace close attention to the participants, the argument, or the literary purpose of the episode.</w:t>
      </w:r>
    </w:p>
    <w:p w14:paraId="3E297D49" w14:textId="77777777" w:rsidR="00B057A5" w:rsidRDefault="00000000">
      <w:r>
        <w:lastRenderedPageBreak/>
        <w:t>A practical sequence for teaching therefore remains essential: identify our inherited assumptions; read the words in their literary setting; investigate the relevant historical world; distinguish explicit textual claims from reasonable inference; test the proposed interpretation against the wider canonical witness; and only then formulate application. Cultural information is most valuable when it sharpens our hearing of Scripture rather than becoming an independent authority over it.</w:t>
      </w:r>
    </w:p>
    <w:p w14:paraId="58B83E86" w14:textId="77777777" w:rsidR="00B057A5" w:rsidRDefault="00000000">
      <w:pPr>
        <w:pStyle w:val="Heading2"/>
      </w:pPr>
      <w:r>
        <w:t>From Social Judgment to the Verdict of God</w:t>
      </w:r>
    </w:p>
    <w:p w14:paraId="2F436ED3" w14:textId="77777777" w:rsidR="00B057A5" w:rsidRDefault="00000000">
      <w:r>
        <w:t>Across this study, a recurring contrast has emerged. Communities can grant honor to the undeserving, withhold it from the faithful, and confuse visible status with moral worth. The Old Testament gives voice to those who suffer disgrace while trusting God. Jesus exposes the inadequacy of status seeking and submits to a cross designed to shame. Paul announces that those reconciled through Christ possess a Hope that will not finally disgrace them. The church is then called to embody a different practice of recognition by honoring its members, especially those easily overlooked.</w:t>
      </w:r>
    </w:p>
    <w:p w14:paraId="48FF6DD1" w14:textId="77777777" w:rsidR="00B057A5" w:rsidRDefault="00000000">
      <w:r>
        <w:t>None of this means that shame has only one biblical meaning or that every biblical author is addressing the same cultural institution in identical terms. The texts speak in distinct genres and settings. Nevertheless, their cumulative witness permits a disciplined theological synthesis: human evaluation is real and can be painful, but it is not sovereign. God's judgment supplies the decisive standard, and His action in Christ grounds the believer's confidence. This conclusion arises not from ignoring the ancient world but from understanding more clearly how the biblical writers addressed it.</w:t>
      </w:r>
    </w:p>
    <w:p w14:paraId="0A24CA9D" w14:textId="77777777" w:rsidR="00B057A5" w:rsidRDefault="00000000">
      <w:pPr>
        <w:pStyle w:val="Heading2"/>
      </w:pPr>
      <w:r>
        <w:t>Conclusion: Understanding Their World So We Can Live Faithfully in Ours</w:t>
      </w:r>
    </w:p>
    <w:p w14:paraId="407D9ACA" w14:textId="77777777" w:rsidR="00B057A5" w:rsidRDefault="00000000">
      <w:r>
        <w:t>The purpose of this exposition has never been to make biblical study an exercise in cultural antiquarianism. It has been to hear the biblical authors more faithfully and therefore to apply their teaching more responsibly. When we know what honor and shame could mean to the people who first received Scripture, familiar passages become less susceptible to our unexamined assumptions. The cross becomes more visibly scandalous, the teaching of Jesus more socially challenging, Paul's confidence more substantial, and the church's calling more demanding.</w:t>
      </w:r>
    </w:p>
    <w:p w14:paraId="2DA8023D" w14:textId="77777777" w:rsidR="00B057A5" w:rsidRDefault="00000000">
      <w:r>
        <w:t>Our final application is therefore neither to despise all public recognition nor to seek disgrace as though humiliation were a virtue. It is to live before God with an allegiance that does not depend upon the applause of others, to recognize dignity where the world overlooks it, to practice truthful accountability, and to entrust our ultimate vindication to the One who raised Jesus from the dead. The believer may experience rejection and disappointment in the present, but the Hope grounded in Christ does not rest upon the world's verdict. It rests upon the faithfulness of God.</w:t>
      </w:r>
    </w:p>
    <w:p w14:paraId="216AA33F" w14:textId="77777777" w:rsidR="00B057A5" w:rsidRDefault="00000000">
      <w:r>
        <w:t>Relevant passages for contextual reading: Psalm 25; Isaiah 28:16; Matthew 6:1–18; Luke 14:7–11; Romans 5:1–11; 9:33; 10:11; 12:9–16; 1 Corinthians 12:12–27; Philippians 2:1–11; James 2:1–13; 1 Peter 2:19–25; 4:12–16.</w:t>
      </w:r>
    </w:p>
    <w:p w14:paraId="13056D80" w14:textId="77777777" w:rsidR="00AA21C1" w:rsidRDefault="00000000">
      <w:pPr>
        <w:spacing w:before="200"/>
      </w:pPr>
      <w:r>
        <w:t>Scripture references in this module are paraphrased rather than quoted verbatim. The New American Standard Bible (1977) is the designated translation for any direct quotations introduced in a future edition.</w:t>
      </w:r>
    </w:p>
    <w:p w14:paraId="52467129" w14:textId="77777777" w:rsidR="00AA21C1" w:rsidRDefault="00000000">
      <w:r>
        <w:br w:type="page"/>
      </w:r>
    </w:p>
    <w:p w14:paraId="73700B6E" w14:textId="77777777" w:rsidR="00AA21C1" w:rsidRDefault="00000000">
      <w:pPr>
        <w:pStyle w:val="Heading1"/>
      </w:pPr>
      <w:r>
        <w:lastRenderedPageBreak/>
        <w:t>Bibliography</w:t>
      </w:r>
    </w:p>
    <w:p w14:paraId="2C737D7D" w14:textId="77777777" w:rsidR="00AA21C1" w:rsidRDefault="00000000">
      <w:pPr>
        <w:spacing w:after="120"/>
        <w:ind w:left="432" w:hanging="432"/>
      </w:pPr>
      <w:r>
        <w:t xml:space="preserve">Barclay, John M. G. </w:t>
      </w:r>
      <w:r>
        <w:rPr>
          <w:i/>
        </w:rPr>
        <w:t>Paul and the Gift</w:t>
      </w:r>
      <w:r>
        <w:t>. Grand Rapids: Eerdmans, 2015.</w:t>
      </w:r>
    </w:p>
    <w:p w14:paraId="65A1E812" w14:textId="77777777" w:rsidR="00AA21C1" w:rsidRDefault="00000000">
      <w:pPr>
        <w:spacing w:after="120"/>
        <w:ind w:left="432" w:hanging="432"/>
      </w:pPr>
      <w:r>
        <w:t xml:space="preserve">Cohen, Shaye J. D. </w:t>
      </w:r>
      <w:r>
        <w:rPr>
          <w:i/>
        </w:rPr>
        <w:t>From the Maccabees to the Mishnah</w:t>
      </w:r>
      <w:r>
        <w:t>. 3rd ed. Louisville: Westminster John Knox, 2014.</w:t>
      </w:r>
    </w:p>
    <w:p w14:paraId="0F50D535" w14:textId="77777777" w:rsidR="00AA21C1" w:rsidRDefault="00000000">
      <w:pPr>
        <w:spacing w:after="120"/>
        <w:ind w:left="432" w:hanging="432"/>
      </w:pPr>
      <w:r>
        <w:t xml:space="preserve">Cook, John Granger. </w:t>
      </w:r>
      <w:r>
        <w:rPr>
          <w:i/>
        </w:rPr>
        <w:t>Crucifixion in the Mediterranean World</w:t>
      </w:r>
      <w:r>
        <w:t>. 2nd ed. Tübingen: Mohr Siebeck, 2019.</w:t>
      </w:r>
    </w:p>
    <w:p w14:paraId="2B0FFD7D" w14:textId="77777777" w:rsidR="00AA21C1" w:rsidRDefault="00000000">
      <w:pPr>
        <w:spacing w:after="120"/>
        <w:ind w:left="432" w:hanging="432"/>
      </w:pPr>
      <w:proofErr w:type="spellStart"/>
      <w:r>
        <w:t>deSilva</w:t>
      </w:r>
      <w:proofErr w:type="spellEnd"/>
      <w:r>
        <w:t xml:space="preserve">, David A. </w:t>
      </w:r>
      <w:r>
        <w:rPr>
          <w:i/>
        </w:rPr>
        <w:t>Honor, Patronage, Kinship, &amp; Purity: Unlocking New Testament Culture</w:t>
      </w:r>
      <w:r>
        <w:t>. 2nd ed. Downers Grove, IL: IVP Academic, 2022.</w:t>
      </w:r>
    </w:p>
    <w:p w14:paraId="1F7C76D5" w14:textId="77777777" w:rsidR="00AA21C1" w:rsidRDefault="00000000">
      <w:pPr>
        <w:spacing w:after="120"/>
        <w:ind w:left="432" w:hanging="432"/>
      </w:pPr>
      <w:proofErr w:type="spellStart"/>
      <w:r>
        <w:t>deSilva</w:t>
      </w:r>
      <w:proofErr w:type="spellEnd"/>
      <w:r>
        <w:t xml:space="preserve">, David A. “The Noble Contest: Honor, Shame, and the Rhetorical Strategy of 4 Maccabees.” </w:t>
      </w:r>
      <w:r>
        <w:rPr>
          <w:i/>
        </w:rPr>
        <w:t>Biblical Interpretation</w:t>
      </w:r>
      <w:r>
        <w:t xml:space="preserve"> (1995). https://doi.org/10.1177/095182079500001303. [Volume, issue, and page span require verification.]</w:t>
      </w:r>
    </w:p>
    <w:p w14:paraId="04E79BBB" w14:textId="77777777" w:rsidR="00AA21C1" w:rsidRDefault="00000000">
      <w:pPr>
        <w:spacing w:after="120"/>
        <w:ind w:left="432" w:hanging="432"/>
      </w:pPr>
      <w:r>
        <w:t xml:space="preserve">Dunn, James D. G. </w:t>
      </w:r>
      <w:r>
        <w:rPr>
          <w:i/>
        </w:rPr>
        <w:t>Romans 1–8</w:t>
      </w:r>
      <w:r>
        <w:t>. WBC 38A. Dallas: Word Books, 1988.</w:t>
      </w:r>
    </w:p>
    <w:p w14:paraId="444DF9F3" w14:textId="77777777" w:rsidR="00AA21C1" w:rsidRDefault="00000000">
      <w:pPr>
        <w:spacing w:after="120"/>
        <w:ind w:left="432" w:hanging="432"/>
      </w:pPr>
      <w:r>
        <w:t xml:space="preserve">France, R. T. </w:t>
      </w:r>
      <w:r>
        <w:rPr>
          <w:i/>
        </w:rPr>
        <w:t>The Gospel of Matthew</w:t>
      </w:r>
      <w:r>
        <w:t>. NICNT. Grand Rapids: Eerdmans, 2007.</w:t>
      </w:r>
    </w:p>
    <w:p w14:paraId="7E7AAEC6" w14:textId="77777777" w:rsidR="00AA21C1" w:rsidRDefault="00000000">
      <w:pPr>
        <w:spacing w:after="120"/>
        <w:ind w:left="432" w:hanging="432"/>
      </w:pPr>
      <w:proofErr w:type="spellStart"/>
      <w:r>
        <w:t>Gaventa</w:t>
      </w:r>
      <w:proofErr w:type="spellEnd"/>
      <w:r>
        <w:t xml:space="preserve">, Beverly Roberts. </w:t>
      </w:r>
      <w:r>
        <w:rPr>
          <w:i/>
        </w:rPr>
        <w:t>When in Romans: An Invitation to Linger with the Gospel according to Paul</w:t>
      </w:r>
      <w:r>
        <w:t>. Grand Rapids: Baker Academic, 2016.</w:t>
      </w:r>
    </w:p>
    <w:p w14:paraId="438FD76B" w14:textId="77777777" w:rsidR="00AA21C1" w:rsidRDefault="00000000">
      <w:pPr>
        <w:spacing w:after="120"/>
        <w:ind w:left="432" w:hanging="432"/>
      </w:pPr>
      <w:r>
        <w:t xml:space="preserve">Green, Joel B. </w:t>
      </w:r>
      <w:r>
        <w:rPr>
          <w:i/>
        </w:rPr>
        <w:t>The Death of Jesus: Tradition and Interpretation in the Passion Narrative</w:t>
      </w:r>
      <w:r>
        <w:t>. Tübingen: Mohr Siebeck, 1988.</w:t>
      </w:r>
    </w:p>
    <w:p w14:paraId="0047F685" w14:textId="77777777" w:rsidR="00AA21C1" w:rsidRDefault="00000000">
      <w:pPr>
        <w:spacing w:after="120"/>
        <w:ind w:left="432" w:hanging="432"/>
      </w:pPr>
      <w:r>
        <w:t xml:space="preserve">Green, Joel B. </w:t>
      </w:r>
      <w:r>
        <w:rPr>
          <w:i/>
        </w:rPr>
        <w:t>The Gospel of Luke</w:t>
      </w:r>
      <w:r>
        <w:t>. NICNT. Grand Rapids: Eerdmans, 1997.</w:t>
      </w:r>
    </w:p>
    <w:p w14:paraId="63C90D34" w14:textId="77777777" w:rsidR="00AA21C1" w:rsidRDefault="00000000">
      <w:pPr>
        <w:spacing w:after="120"/>
        <w:ind w:left="432" w:hanging="432"/>
      </w:pPr>
      <w:r>
        <w:t xml:space="preserve">Hamilton, Victor P. </w:t>
      </w:r>
      <w:r>
        <w:rPr>
          <w:i/>
        </w:rPr>
        <w:t>The Book of Genesis: Chapters 1–17</w:t>
      </w:r>
      <w:r>
        <w:t>. NICOT. Grand Rapids: Eerdmans, 1990.</w:t>
      </w:r>
    </w:p>
    <w:p w14:paraId="330C6945" w14:textId="77777777" w:rsidR="00AA21C1" w:rsidRDefault="00000000">
      <w:pPr>
        <w:spacing w:after="120"/>
        <w:ind w:left="432" w:hanging="432"/>
      </w:pPr>
      <w:r>
        <w:t xml:space="preserve">Hays, Richard B. </w:t>
      </w:r>
      <w:r>
        <w:rPr>
          <w:i/>
        </w:rPr>
        <w:t>Echoes of Scripture in the Letters of Paul</w:t>
      </w:r>
      <w:r>
        <w:t>. New Haven: Yale University Press, 1989.</w:t>
      </w:r>
    </w:p>
    <w:p w14:paraId="7E2F5B12" w14:textId="77777777" w:rsidR="00AA21C1" w:rsidRDefault="00000000">
      <w:pPr>
        <w:spacing w:after="120"/>
        <w:ind w:left="432" w:hanging="432"/>
      </w:pPr>
      <w:r>
        <w:t xml:space="preserve">Hengel, Martin. </w:t>
      </w:r>
      <w:r>
        <w:rPr>
          <w:i/>
        </w:rPr>
        <w:t>Crucifixion in the Ancient World and the Folly of the Message of the Cross</w:t>
      </w:r>
      <w:r>
        <w:t>. Philadelphia: Fortress, 1977.</w:t>
      </w:r>
    </w:p>
    <w:p w14:paraId="79C5CE07" w14:textId="77777777" w:rsidR="00AA21C1" w:rsidRDefault="00000000">
      <w:pPr>
        <w:spacing w:after="120"/>
        <w:ind w:left="432" w:hanging="432"/>
      </w:pPr>
      <w:r>
        <w:t xml:space="preserve">Jewett, Robert. </w:t>
      </w:r>
      <w:r>
        <w:rPr>
          <w:i/>
        </w:rPr>
        <w:t>Romans: A Commentary</w:t>
      </w:r>
      <w:r>
        <w:t xml:space="preserve">. </w:t>
      </w:r>
      <w:proofErr w:type="spellStart"/>
      <w:r>
        <w:t>Hermeneia</w:t>
      </w:r>
      <w:proofErr w:type="spellEnd"/>
      <w:r>
        <w:t>. Minneapolis: Fortress, 2007.</w:t>
      </w:r>
    </w:p>
    <w:p w14:paraId="347DD290" w14:textId="77777777" w:rsidR="00AA21C1" w:rsidRDefault="00000000">
      <w:pPr>
        <w:spacing w:after="120"/>
        <w:ind w:left="432" w:hanging="432"/>
      </w:pPr>
      <w:r>
        <w:t xml:space="preserve">Ling, Timothy J. M. </w:t>
      </w:r>
      <w:r>
        <w:rPr>
          <w:i/>
        </w:rPr>
        <w:t>The Judaean Poor and the Fourth Gospel</w:t>
      </w:r>
      <w:r>
        <w:t>. Cambridge: Cambridge University Press, 2006.</w:t>
      </w:r>
    </w:p>
    <w:p w14:paraId="5A03A711" w14:textId="77777777" w:rsidR="00AA21C1" w:rsidRDefault="00000000">
      <w:pPr>
        <w:spacing w:after="120"/>
        <w:ind w:left="432" w:hanging="432"/>
      </w:pPr>
      <w:r>
        <w:t xml:space="preserve">Magness, Jodi. </w:t>
      </w:r>
      <w:r>
        <w:rPr>
          <w:i/>
        </w:rPr>
        <w:t>Stone and Dung, Oil and Spit: Jewish Daily Life in the Time of Jesus</w:t>
      </w:r>
      <w:r>
        <w:t>. Grand Rapids: Eerdmans, 2011.</w:t>
      </w:r>
    </w:p>
    <w:p w14:paraId="592D1F53" w14:textId="77777777" w:rsidR="00AA21C1" w:rsidRDefault="00000000">
      <w:pPr>
        <w:spacing w:after="120"/>
        <w:ind w:left="432" w:hanging="432"/>
      </w:pPr>
      <w:r>
        <w:t xml:space="preserve">Malina, Bruce J. </w:t>
      </w:r>
      <w:r>
        <w:rPr>
          <w:i/>
        </w:rPr>
        <w:t>The New Testament World: Insights from Cultural Anthropology</w:t>
      </w:r>
      <w:r>
        <w:t>. 3rd ed. Louisville: Westminster John Knox, 2001.</w:t>
      </w:r>
    </w:p>
    <w:p w14:paraId="33179F6D" w14:textId="77777777" w:rsidR="00AA21C1" w:rsidRDefault="00000000">
      <w:pPr>
        <w:spacing w:after="120"/>
        <w:ind w:left="432" w:hanging="432"/>
      </w:pPr>
      <w:r>
        <w:t xml:space="preserve">Meeks, Wayne A. </w:t>
      </w:r>
      <w:r>
        <w:rPr>
          <w:i/>
        </w:rPr>
        <w:t>The First Urban Christians: The Social World of the Apostle Paul</w:t>
      </w:r>
      <w:r>
        <w:t>. New Haven: Yale University Press, 1983.</w:t>
      </w:r>
    </w:p>
    <w:p w14:paraId="2C4BDE22" w14:textId="77777777" w:rsidR="00AA21C1" w:rsidRDefault="00000000">
      <w:pPr>
        <w:spacing w:after="120"/>
        <w:ind w:left="432" w:hanging="432"/>
      </w:pPr>
      <w:r>
        <w:t xml:space="preserve">Neufeld, Dietmar. “The Rhetoric of Body, Clothing and Identity in the Vita and Genesis.” </w:t>
      </w:r>
      <w:r>
        <w:rPr>
          <w:i/>
        </w:rPr>
        <w:t>Scriptura</w:t>
      </w:r>
      <w:r>
        <w:t xml:space="preserve"> 90 (2005): 679–84.</w:t>
      </w:r>
    </w:p>
    <w:p w14:paraId="75958767" w14:textId="77777777" w:rsidR="00AA21C1" w:rsidRDefault="00000000">
      <w:pPr>
        <w:spacing w:after="120"/>
        <w:ind w:left="432" w:hanging="432"/>
      </w:pPr>
      <w:r>
        <w:t xml:space="preserve">Neyrey, Jerome H. </w:t>
      </w:r>
      <w:r>
        <w:rPr>
          <w:i/>
        </w:rPr>
        <w:t>Honor and Shame in the Gospel of Matthew</w:t>
      </w:r>
      <w:r>
        <w:t>. Louisville: Westminster John Knox, 1998.</w:t>
      </w:r>
    </w:p>
    <w:p w14:paraId="04787E72" w14:textId="77777777" w:rsidR="00AA21C1" w:rsidRDefault="00000000">
      <w:pPr>
        <w:spacing w:after="120"/>
        <w:ind w:left="432" w:hanging="432"/>
      </w:pPr>
      <w:r>
        <w:t xml:space="preserve">Patterson, Colin. “The World of Honor and Shame in the New Testament: Alien or Familiar?” </w:t>
      </w:r>
      <w:r>
        <w:rPr>
          <w:i/>
        </w:rPr>
        <w:t>Biblical Theology Bulletin</w:t>
      </w:r>
      <w:r>
        <w:t xml:space="preserve"> 49, no. 1 (2019).</w:t>
      </w:r>
    </w:p>
    <w:p w14:paraId="1D9790FD" w14:textId="77777777" w:rsidR="00AA21C1" w:rsidRDefault="00000000">
      <w:pPr>
        <w:spacing w:after="120"/>
        <w:ind w:left="432" w:hanging="432"/>
      </w:pPr>
      <w:r>
        <w:t xml:space="preserve">Sanders, E. P. </w:t>
      </w:r>
      <w:r>
        <w:rPr>
          <w:i/>
        </w:rPr>
        <w:t>Judaism: Practice and Belief, 63 BCE–66 CE</w:t>
      </w:r>
      <w:r>
        <w:t>. London: SCM Press, 1992.</w:t>
      </w:r>
    </w:p>
    <w:p w14:paraId="5AA20EE1" w14:textId="77777777" w:rsidR="00AA21C1" w:rsidRDefault="00000000">
      <w:pPr>
        <w:spacing w:after="120"/>
        <w:ind w:left="432" w:hanging="432"/>
      </w:pPr>
      <w:r>
        <w:t xml:space="preserve">Wenham, Gordon J. </w:t>
      </w:r>
      <w:r>
        <w:rPr>
          <w:i/>
        </w:rPr>
        <w:t>Genesis 1–15</w:t>
      </w:r>
      <w:r>
        <w:t>. WBC 1. Waco, TX: Word Books, 1987.</w:t>
      </w:r>
    </w:p>
    <w:p w14:paraId="1621A6D5" w14:textId="77777777" w:rsidR="00AA21C1" w:rsidRDefault="00000000">
      <w:pPr>
        <w:spacing w:after="120"/>
        <w:ind w:left="432" w:hanging="432"/>
      </w:pPr>
      <w:r>
        <w:t xml:space="preserve">Westermann, Claus. </w:t>
      </w:r>
      <w:r>
        <w:rPr>
          <w:i/>
        </w:rPr>
        <w:t>Genesis 1–11: A Commentary</w:t>
      </w:r>
      <w:r>
        <w:t>. Translated by John J. Scullion. Minneapolis: Augsburg, 1984.</w:t>
      </w:r>
    </w:p>
    <w:p w14:paraId="2409EBBC" w14:textId="77777777" w:rsidR="00AA21C1" w:rsidRDefault="00000000">
      <w:pPr>
        <w:spacing w:after="120"/>
        <w:ind w:left="432" w:hanging="432"/>
      </w:pPr>
      <w:r>
        <w:lastRenderedPageBreak/>
        <w:t xml:space="preserve">Winter, Bruce W. </w:t>
      </w:r>
      <w:r>
        <w:rPr>
          <w:i/>
        </w:rPr>
        <w:t>After Paul Left Corinth: The Influence of Secular Ethics and Social Change</w:t>
      </w:r>
      <w:r>
        <w:t>. Grand Rapids: Eerdmans, 2001.</w:t>
      </w:r>
    </w:p>
    <w:sectPr w:rsidR="00AA21C1" w:rsidSect="00034616">
      <w:headerReference w:type="default" r:id="rId8"/>
      <w:footerReference w:type="default" r:id="rId9"/>
      <w:pgSz w:w="12240" w:h="15840"/>
      <w:pgMar w:top="1123" w:right="1296" w:bottom="1008"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937D5" w14:textId="77777777" w:rsidR="006A5D43" w:rsidRDefault="006A5D43">
      <w:pPr>
        <w:spacing w:after="0" w:line="240" w:lineRule="auto"/>
      </w:pPr>
      <w:r>
        <w:separator/>
      </w:r>
    </w:p>
  </w:endnote>
  <w:endnote w:type="continuationSeparator" w:id="0">
    <w:p w14:paraId="257FA2F7" w14:textId="77777777" w:rsidR="006A5D43" w:rsidRDefault="006A5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9E1F4" w14:textId="77777777" w:rsidR="00B057A5" w:rsidRDefault="00000000">
    <w:pPr>
      <w:pStyle w:val="Footer"/>
      <w:jc w:val="right"/>
    </w:pPr>
    <w:r>
      <w:rPr>
        <w:sz w:val="16"/>
      </w:rPr>
      <w:t>Shame and Honor • Module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AB97E" w14:textId="77777777" w:rsidR="006A5D43" w:rsidRDefault="006A5D43">
      <w:pPr>
        <w:spacing w:after="0" w:line="240" w:lineRule="auto"/>
      </w:pPr>
      <w:r>
        <w:separator/>
      </w:r>
    </w:p>
  </w:footnote>
  <w:footnote w:type="continuationSeparator" w:id="0">
    <w:p w14:paraId="18058696" w14:textId="77777777" w:rsidR="006A5D43" w:rsidRDefault="006A5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6BAAB" w14:textId="77777777" w:rsidR="00AA21C1" w:rsidRDefault="00000000">
    <w:pPr>
      <w:jc w:val="right"/>
    </w:pPr>
    <w:r>
      <w:rPr>
        <w:sz w:val="16"/>
      </w:rPr>
      <w:t xml:space="preserve">SHAME AND </w:t>
    </w:r>
    <w:proofErr w:type="gramStart"/>
    <w:r>
      <w:rPr>
        <w:sz w:val="16"/>
      </w:rPr>
      <w:t>HONOR  |</w:t>
    </w:r>
    <w:proofErr w:type="gramEnd"/>
    <w:r>
      <w:rPr>
        <w:sz w:val="16"/>
      </w:rPr>
      <w:t xml:space="preserve">  DAVID V. LOTT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4634526">
    <w:abstractNumId w:val="8"/>
  </w:num>
  <w:num w:numId="2" w16cid:durableId="1928542090">
    <w:abstractNumId w:val="6"/>
  </w:num>
  <w:num w:numId="3" w16cid:durableId="518593228">
    <w:abstractNumId w:val="5"/>
  </w:num>
  <w:num w:numId="4" w16cid:durableId="1991254513">
    <w:abstractNumId w:val="4"/>
  </w:num>
  <w:num w:numId="5" w16cid:durableId="1287277299">
    <w:abstractNumId w:val="7"/>
  </w:num>
  <w:num w:numId="6" w16cid:durableId="445076032">
    <w:abstractNumId w:val="3"/>
  </w:num>
  <w:num w:numId="7" w16cid:durableId="460077895">
    <w:abstractNumId w:val="2"/>
  </w:num>
  <w:num w:numId="8" w16cid:durableId="224068462">
    <w:abstractNumId w:val="1"/>
  </w:num>
  <w:num w:numId="9" w16cid:durableId="1854955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5AB9"/>
    <w:rsid w:val="0029639D"/>
    <w:rsid w:val="00326F90"/>
    <w:rsid w:val="006A5D43"/>
    <w:rsid w:val="009E7390"/>
    <w:rsid w:val="00A95EE8"/>
    <w:rsid w:val="00AA1D8D"/>
    <w:rsid w:val="00AA21C1"/>
    <w:rsid w:val="00B057A5"/>
    <w:rsid w:val="00B47730"/>
    <w:rsid w:val="00CB0664"/>
    <w:rsid w:val="00EB2AAA"/>
    <w:rsid w:val="00FC693F"/>
    <w:rsid w:val="00FC6D26"/>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5C5183"/>
  <w14:defaultImageDpi w14:val="300"/>
  <w15:docId w15:val="{099D4B83-5C25-4D79-881B-34062D712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74" w:lineRule="auto"/>
    </w:pPr>
    <w:rPr>
      <w:rFonts w:ascii="Cambria" w:hAnsi="Cambria"/>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34158"/>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2675</Words>
  <Characters>15249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17889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Lott, David V</cp:lastModifiedBy>
  <cp:revision>2</cp:revision>
  <dcterms:created xsi:type="dcterms:W3CDTF">2026-10-21T22:06:00Z</dcterms:created>
  <dcterms:modified xsi:type="dcterms:W3CDTF">2026-10-21T22:06:00Z</dcterms:modified>
  <cp:category/>
</cp:coreProperties>
</file>