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1 — The Word Became Flesh</w:t>
      </w:r>
    </w:p>
    <w:p>
      <w:r>
        <w:t>An Expositional Study of John 1:1–18 | NASB 1977</w:t>
      </w:r>
    </w:p>
    <w:p>
      <w:r>
        <w:t>Central Question: Who is Jesus Christ, and what does John reveal about His eternal identity, His entrance into human history, and His relationship to the Father?</w:t>
      </w:r>
    </w:p>
    <w:p>
      <w:r>
        <w:t>Central Thesis: John introduces Jesus Christ not as a man who subsequently acquired divine authority, but as the eternal Word who existed with God, was God, and entered human history as flesh to reveal the Father and make Him known.</w:t>
      </w:r>
    </w:p>
    <w:p>
      <w:pPr>
        <w:pStyle w:val="Heading1"/>
      </w:pPr>
      <w:r>
        <w:t>Introduction: Before Bethlehem, Before Abraham, Before Creation</w:t>
      </w:r>
    </w:p>
    <w:p>
      <w:r>
        <w:t>The Gospel of John begins in a manner unlike any other account of the life of Jesus Christ. Matthew establishes Jesus within the covenant history of Israel; Luke situates His birth amid the historical circumstances of first-century Palestine; and Mark opens with the ministry of John the Baptist. John takes his readers further back. He begins before Bethlehem, before Abraham, and before creation itself.</w:t>
      </w:r>
    </w:p>
    <w:p>
      <w:r>
        <w:rPr/>
        <w:t>The words “</w:t>
      </w:r>
      <w:r>
        <w:rPr>
          <w:i w:val="1"/>
        </w:rPr>
        <w:t>In the beginning</w:t>
      </w:r>
      <w:r>
        <w:rPr/>
        <w:t>” deliberately recall Genesis 1:1. Genesis announces the beginning of the created order; John declares that the Word already existed when that beginning occurred. The distinction is fundamental. The Jesus who will walk in Galilee, encounter a Samaritan woman, heal a man born blind, and die on a Roman cross is introduced as One whose existence does not begin within the world He entered.</w:t>
      </w:r>
    </w:p>
    <w:p>
      <w:r>
        <w:t>The prologue (1:1–18) functions as an interpretive doorway to the whole Gospel. Its themes—life, light, witness, rejection, believing, glory, truth, and the relationship of the Son to the Father—will reappear throughout John’s account. We should read the prologue first as a coherent literary argument and then examine its clauses in their own grammatical and historical contexts.</w:t>
      </w:r>
    </w:p>
    <w:p>
      <w:pPr>
        <w:pStyle w:val="Heading1"/>
      </w:pPr>
      <w:r>
        <w:t>1. The Word in the Beginning — John 1:1–2</w:t>
      </w:r>
    </w:p>
    <w:p>
      <w:r>
        <w:rPr/>
        <w:t>John’s opening declaration contains three carefully related affirmations: the Word already existed in the beginning; the Word was with God; and the Word was God. The Greek imperfect verb ēn (“was”) describes the Word’s existence at the point John calls “the beginning.” John does not say that the Word came into being at that moment. Later in the paragraph he uses a different verb, egeneto (“</w:t>
      </w:r>
      <w:r>
        <w:rPr>
          <w:i w:val="1"/>
        </w:rPr>
        <w:t>came into being</w:t>
      </w:r>
      <w:r>
        <w:rPr/>
        <w:t>” or “became”), when speaking of creation and the incarnation. The contrast matters because it distinguishes the eternal existence of the Word from events that occur in time.</w:t>
      </w:r>
    </w:p>
    <w:p>
      <w:r>
        <w:t>The Greek term logos can mean word, speech, message, or reason, depending upon context. Greek philosophical uses form part of the broader linguistic environment, but the immediate scriptural background is particularly strong: God creates by speaking in Genesis 1, His word accomplishes His purpose in Isaiah 55:10–11, and Jewish wisdom traditions associate divine wisdom with God’s creative work. These backgrounds illuminate John’s vocabulary without requiring us to reduce his meaning to any one earlier usage.</w:t>
      </w:r>
    </w:p>
    <w:p>
      <w:r>
        <w:rPr/>
        <w:t>The expression translated “with God” (pros ton theon) indicates a real distinction in relationship. The next clause, commonly translated “</w:t>
      </w:r>
      <w:r>
        <w:rPr>
          <w:i w:val="1"/>
        </w:rPr>
        <w:t>the Word was God,</w:t>
      </w:r>
      <w:r>
        <w:rPr/>
        <w:t>” attributes deity to the Word without simply identifying the Word as the same person as the Father. In the Greek, the predicate theos appears without the article and precedes the verb. That construction is not a sound basis for rendering the clause “a god”; its force is best understood as describing the Word’s divine nature while preserving the distinction established in the preceding clause.</w:t>
      </w:r>
    </w:p>
    <w:p>
      <w:r>
        <w:t>John 1:2 repeats the Word’s existence with God in the beginning. The repetition is not redundant. It reinforces the relationship before John turns to the Word’s activity in creation. The reader is thus given two truths to hold together: the Word is distinguishable from the One called God in the preceding clause, and the Word truly shares the divine identity described by John.</w:t>
      </w:r>
    </w:p>
    <w:p>
      <w:pPr>
        <w:pStyle w:val="Heading1"/>
      </w:pPr>
      <w:r>
        <w:t>2. The Word and Creation — John 1:3–5</w:t>
      </w:r>
    </w:p>
    <w:p>
      <w:r>
        <w:t>John moves from who the Word is to what occurred through Him. All things came into being through the Word, and John adds a comprehensive negative statement to exclude any created exception. The force of the paired affirmations is that the Word belongs on the Creator’s side of the Creator–creation distinction. If everything that came into being did so through Him, the Word cannot be classified as one more member of the created order.</w:t>
      </w:r>
    </w:p>
    <w:p>
      <w:r>
        <w:t>John then introduces life and light, two terms that will carry the Gospel’s argument forward. The precise punctuation between verses 3 and 4 has been debated because early Greek manuscripts did not employ modern punctuation. Whether the closing words of verse 3 are attached to the preceding sentence or the opening of verse 4, the central emphasis remains that life is located in the Word and that this life is the light of humanity.</w:t>
      </w:r>
    </w:p>
    <w:p>
      <w:r>
        <w:t>The imagery recalls Genesis, where light appears at God’s command, but John’s development is not confined to physical illumination. Later passages will associate light with the revelation of Jesus and the human response to Him (notably 3:19–21; 8:12; 9:5). The darkness does not overcome the light. The verb katalambanō can carry the sense of grasping, comprehending, or overtaking; the immediate context allows discussion of both hostile resistance and failure of recognition. The larger Gospel shows that human opposition does not extinguish the revelation brought by Jesus.</w:t>
      </w:r>
    </w:p>
    <w:p>
      <w:pPr>
        <w:pStyle w:val="Heading1"/>
      </w:pPr>
      <w:r>
        <w:t>3. The Witness Is Not the Light — John 1:6–8</w:t>
      </w:r>
    </w:p>
    <w:p>
      <w:r>
        <w:t>At verse 6 John introduces a man sent from God, John the Baptist. The contrast in verbal expression is striking: the Word “was” in the beginning, whereas John the Baptist “came” as a man sent by God. The Baptist occupies an important place in God’s historical purpose, but he is never confused with the eternal Word.</w:t>
      </w:r>
    </w:p>
    <w:p>
      <w:r>
        <w:t>John’s assignment is testimony. He bears witness concerning the light so that others might believe through his witness. This is an early appearance of the Gospel’s recurring legal and relational language of witness, a theme that will include Jesus’ works, the Father, Scripture, and the disciples. The Baptist is explicitly not the light; he points beyond himself. This prepares the reader for the sustained attention to his testimony in John 1:19–34.</w:t>
      </w:r>
    </w:p>
    <w:p>
      <w:pPr>
        <w:pStyle w:val="Heading1"/>
      </w:pPr>
      <w:r>
        <w:t>4. The True Light and the World — John 1:9–11</w:t>
      </w:r>
    </w:p>
    <w:p>
      <w:r>
        <w:t>The true light enters the world that came into being through Him. John uses kosmos (“world”) with a range of related senses throughout the Gospel. Here it refers both to the created realm and to the human world that fails to recognize its Maker. The irony is deliberate: the world owes its existence to the Word, yet the world does not know Him.</w:t>
      </w:r>
    </w:p>
    <w:p>
      <w:r>
        <w:t>John sharpens this rejection by saying that the Word came to His own, yet His own people did not receive Him. The Greek wording shifts from what belongs to someone to persons who belong to that sphere. The expression plausibly brings Israel and the covenant setting into view, although the broader Gospel also exposes the rejection of Jesus as a more comprehensive human problem. John is not condemning every Jewish person; Jesus, His earliest disciples, and the author’s own scriptural framework are Jewish. The narrative presents varied responses within Israel, including genuine belief.</w:t>
      </w:r>
    </w:p>
    <w:p>
      <w:pPr>
        <w:pStyle w:val="Heading1"/>
      </w:pPr>
      <w:r>
        <w:t>5. Receiving the Word and Becoming Children of God — John 1:12–13</w:t>
      </w:r>
    </w:p>
    <w:p>
      <w:r>
        <w:t>Rejection is not the only response. John turns to those who receive the Word and explains this reception as believing in His name. In this Gospel, believing is directed toward the person and identity of Jesus, not merely toward the existence of God or the truth of an isolated claim. The promise is that such people are given the right or authority to become children of God.</w:t>
      </w:r>
    </w:p>
    <w:p>
      <w:r>
        <w:t>John immediately clarifies that this new identity is not produced by ancestry, natural descent, or human determination. It is a birth “of God.” The contrast would have been significant in a setting where descent from Abraham and membership in Israel could be understood as markers of covenant identity. John does not deny Israel’s history; he insists that the life to which the Gospel points is given by God rather than secured by human genealogy. This theme will receive sustained exposition in Jesus’ conversation with Nicodemus in John 3.</w:t>
      </w:r>
    </w:p>
    <w:p>
      <w:pPr>
        <w:pStyle w:val="Heading1"/>
      </w:pPr>
      <w:r>
        <w:t>6. The Word Became Flesh — John 1:14</w:t>
      </w:r>
    </w:p>
    <w:p>
      <w:r>
        <w:t>The center of the prologue is the announcement that the Word became flesh. John does not say merely that the Word appeared to be human, assumed a visible disguise, or temporarily visited a human body. The verb “became” marks an event in history, while “flesh” (sarx) emphasizes genuine human existence in its embodied condition. The One who already existed with God entered the human condition without ceasing to be the One described in verses 1–3.</w:t>
      </w:r>
    </w:p>
    <w:p>
      <w:r>
        <w:t>John adds that the Word dwelt among us. The verb eskēnōsen is related to the language of pitching a tent or tabernacling, and the association with God’s dwelling among Israel deserves careful consideration. In Exodus, the divine glory is connected with the tabernacle; John now speaks of glory seen in the incarnate Word. This does not mean that every detail of the tabernacle should be turned into an allegory. The textual connection is sufficiently strong without speculative elaboration.</w:t>
      </w:r>
    </w:p>
    <w:p>
      <w:r>
        <w:rPr/>
        <w:t>The glory is described as belonging to the unique Son from the Father, full of grace and truth. The Greek term monogenēs has often been translated “only begotten,” but its lexical force in this context emphasizes the Son’s uniqueness in relation to the Father. The phrase “</w:t>
      </w:r>
      <w:r>
        <w:rPr>
          <w:i w:val="1"/>
        </w:rPr>
        <w:t>grace and truth</w:t>
      </w:r>
      <w:r>
        <w:rPr/>
        <w:t>” also recalls the language of God’s covenant faithfulness in Exodus 34:6, though the correspondence between the Greek and Hebrew expressions should be handled with precision rather than treated as a mechanical quotation.</w:t>
      </w:r>
    </w:p>
    <w:p>
      <w:r>
        <w:t>The incarnation is not an incidental doctrine placed beside the Gospel’s narrative. It makes possible the historical encounters that follow. The Word who created all things can now be heard, seen, touched, rejected, and received within the world He made.</w:t>
      </w:r>
    </w:p>
    <w:p>
      <w:pPr>
        <w:pStyle w:val="Heading1"/>
      </w:pPr>
      <w:r>
        <w:t>7. The Baptist’s Testimony and the Fullness of the Son — John 1:15–17</w:t>
      </w:r>
    </w:p>
    <w:p>
      <w:r>
        <w:t>John returns briefly to the Baptist, whose testimony affirms the priority of Jesus despite the fact that the Baptist’s public ministry preceded Jesus’ public appearance. The point is not simply chronological age. John’s testimony corresponds to the prologue’s claim that Jesus’ existence precedes His entrance into human history.</w:t>
      </w:r>
    </w:p>
    <w:p>
      <w:r>
        <w:rPr/>
        <w:t>The evangelist then speaks of receiving from the Son’s fullness, including “</w:t>
      </w:r>
      <w:r>
        <w:rPr>
          <w:i w:val="1"/>
        </w:rPr>
        <w:t>grace upon grace.</w:t>
      </w:r>
      <w:r>
        <w:rPr/>
        <w:t>” The Greek expression charin anti charitos has generated discussion: it can suggest grace replacing grace, or an ongoing succession of gracious gifts. The immediate comparison with Moses and Jesus Christ should govern interpretation. John contrasts the law given through Moses with grace and truth realized through Jesus Christ, but this is not a declaration that the law was devoid of grace or that Moses opposed God’s purposes.</w:t>
      </w:r>
    </w:p>
    <w:p>
      <w:r>
        <w:t>Moses is honored as the mediator through whom the law was given; Jesus Christ is presented as the climactic disclosure of divine grace and truth. John is developing a fulfillment-oriented contrast within the story of God’s revelation, not proposing that the God of Israel has been replaced by another deity.</w:t>
      </w:r>
    </w:p>
    <w:p>
      <w:pPr>
        <w:pStyle w:val="Heading1"/>
      </w:pPr>
      <w:r>
        <w:t>8. The Son Makes the Father Known — John 1:18</w:t>
      </w:r>
    </w:p>
    <w:p>
      <w:r>
        <w:t>The prologue concludes with the claim that no one has seen God at any time and that the unique One in closest relationship with the Father has made Him known. The final verb, exēgēsato, means to explain, recount, or make known. The English term “exegesis” is related to this verb, but John’s point is not a lesson in interpretive technique. The Son uniquely reveals the Father.</w:t>
      </w:r>
    </w:p>
    <w:p>
      <w:r>
        <w:t>There is a significant textual variation in this verse. Important early witnesses read a form often translated “the only God” or “the unique God,” while other manuscripts read “the only Son.” Both readings have substantial histories in the transmission and interpretation of the passage. A responsible exposition should acknowledge the variation, consult a critical Greek apparatus, and avoid treating the issue as though it were nonexistent. Either reading fits the prologue’s presentation of the unique revealer in intimate relationship with the Father.</w:t>
      </w:r>
    </w:p>
    <w:p>
      <w:r>
        <w:t>The closing statement explains why the Gospel can present Jesus’ words and works as the revelation of God. John does not claim that humanity ascends to divine knowledge through independent speculation. The Father is made known through the One who comes from Him. This theme will return when Jesus tells Philip that seeing Him is seeing the Father (John 14:9), a declaration that must be read within the Gospel’s sustained distinction between Father and Son.</w:t>
      </w:r>
    </w:p>
    <w:p>
      <w:pPr>
        <w:pStyle w:val="Heading1"/>
      </w:pPr>
      <w:r>
        <w:t>9. The Prologue as the Interpretive Foundation of the Gospel</w:t>
      </w:r>
    </w:p>
    <w:p>
      <w:r>
        <w:t>The first eighteen verses give readers a framework for interpreting everything that follows. When Jesus speaks of life, the reader remembers that life was in the Word. When He identifies Himself as the light of the world, the reader recalls the light that darkness did not overcome. When some people reject Him and others believe, the reader recognizes the responses already anticipated in the prologue. When Jesus speaks of His Father, the reader remembers the unique relationship announced before the narrative began.</w:t>
      </w:r>
    </w:p>
    <w:p>
      <w:r>
        <w:t>The Gospel’s purpose in John 20:30–31 confirms the direction of the argument. The author has selected testimony so that his readers may believe Jesus is the Christ, the Son of God, and have life in His name. The prologue announces the identity that the narrative will substantiate. It is therefore both a theological overture and a reading guide, not a detachable poem whose claims can be separated from the historical Jesus described in the remaining chapters.</w:t>
      </w:r>
    </w:p>
    <w:p>
      <w:pPr>
        <w:pStyle w:val="Heading1"/>
      </w:pPr>
      <w:r>
        <w:t>10. Theological Significance and Contemporary Application</w:t>
      </w:r>
    </w:p>
    <w:p>
      <w:r>
        <w:t>John’s opening passage requires readers to reckon with the claims of Jesus before attempting to extract ethical instruction from His example. If the Word existed before creation, brought all things into being, became flesh, and reveals the Father, then the question of His identity is not peripheral to Christian faith. It stands at the center of the Gospel’s message.</w:t>
      </w:r>
    </w:p>
    <w:p>
      <w:r>
        <w:t>The passage also challenges any understanding of faith that rests solely on inherited religious identity or familiarity with sacred traditions. John describes a world that did not recognize its Maker and people who did not receive the One who came to them. Yet he also announces the gracious possibility of becoming God’s children through receiving and believing in the Son. The contrast calls for thoughtful self-examination, not for contempt toward those who respond differently.</w:t>
      </w:r>
    </w:p>
    <w:p>
      <w:r>
        <w:t>Finally, the incarnation gives Christian proclamation its distinctive character. The revelation of God is not presented as a collection of abstract propositions detached from human history. John points to the Word who became flesh and lived among people. The proper contemporary application begins by understanding that historical and theological claim, then asks what it means to believe, to bear witness, and to live in the light of the One who makes the Father known.</w:t>
      </w:r>
    </w:p>
    <w:p>
      <w:pPr>
        <w:pStyle w:val="Heading1"/>
      </w:pPr>
      <w:r>
        <w:t>Conclusion: The Question the Prologue Leaves Before Us</w:t>
      </w:r>
    </w:p>
    <w:p>
      <w:r>
        <w:t>John 1:1–18 establishes the identity of Jesus before narrating His public ministry. The Word is eternal, distinct in relationship to the Father, divine in nature, active in creation, the source of life and light, and the One who entered human history as flesh. His arrival provokes both rejection and belief, while His unique relationship to the Father makes Him the definitive revealer of God.</w:t>
      </w:r>
    </w:p>
    <w:p>
      <w:r>
        <w:t>The opening of the Gospel therefore does not merely ask whether Jesus can improve human life. It asks whether the One who walked among human beings is the eternal Word through whom their world was made. John’s narrative will now present witnesses, signs, conversations, and conflicts that bring that claim into the open. Our next study will examine John 1:19–34, where the Baptist’s public testimony identifies Jesus and begins the historical unfolding of the Gospel’s central argument.</w:t>
      </w:r>
    </w:p>
    <w:p>
      <w:pPr>
        <w:pStyle w:val="Heading1"/>
      </w:pPr>
      <w:r>
        <w:t>Scholarly Notes for Continued Study</w:t>
      </w:r>
    </w:p>
    <w:p>
      <w:r>
        <w:t>Key Greek expressions: ēn (1:1–2), logos (1:1), pros ton theon (1:1), theos ēn ho logos (1:1), egeneto (1:3, 14), katalambanō (1:5), pisteuō (1:12), sarx (1:14), eskēnōsen (1:14), monogenēs (1:14, 18), charin anti charitos (1:16), and exēgēsato (1:18). These terms should be examined in context rather than treated as self-contained theological definitions.</w:t>
      </w:r>
    </w:p>
    <w:p>
      <w:r>
        <w:t>Historical and scriptural connections: Genesis 1:1–5; Exodus 33–34 and 40; Psalm 33:6; Isaiah 55:10–11; and the wisdom traditions of Israel. For detailed comparison consult Raymond E. Brown, The Gospel According to John I–XII; D. A. Carson, The Gospel According to John; Craig S. Keener, The Gospel of John: A Commentary; Andreas J. Köstenberger, John; and Richard Bauckham, Jesus and the Eyewitnesses. These are suggested research works, not claims that every interpretation above is shared by each author.</w:t>
      </w:r>
    </w:p>
    <w:p>
      <w:r>
        <w:rPr/>
        <w:t>Textual issues requiring continued attention: the punctuation of John 1:3–4; the interpretation of “</w:t>
      </w:r>
      <w:r>
        <w:rPr>
          <w:i w:val="1"/>
        </w:rPr>
        <w:t>grace upon grace</w:t>
      </w:r>
      <w:r>
        <w:rPr/>
        <w:t>” in 1:16; and the manuscript variants of John 1:18. Quotations from Scripture in this study are intentionally brief; readers should consult John 1:1–18 in their own NASB 1977 text alongside the exposition.</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800" w:bottom="1080" w:left="180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mbria" w:hAnsi="Cambria"/>
      <w:b/>
      <w:bCs/>
      <w:color w:val="1B3752"/>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mbria" w:hAnsi="Cambria"/>
      <w:b/>
      <w:bCs/>
      <w:color w:val="1B375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Cambria" w:hAnsi="Cambria"/>
      <w:color w:val="1B375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