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39  |  John 12:37–50  |  NASB 1977</w:t>
      </w:r>
    </w:p>
    <w:p>
      <w:pPr>
        <w:pStyle w:val="Heading1"/>
      </w:pPr>
      <w:r>
        <w:t>They Would Not Believe</w:t>
      </w:r>
    </w:p>
    <w:p>
      <w:pPr>
        <w:pStyle w:val="Subtitle"/>
      </w:pPr>
      <w:r>
        <w:t>Isaiah’s Prophecy, Spiritual Blindness, and the Final Public Appeal of Jesus</w:t>
      </w:r>
    </w:p>
    <w:p>
      <w:pPr>
        <w:pStyle w:val="Heading1"/>
      </w:pPr>
      <w:r>
        <w:t>1. The Conclusion of the Public Ministry (12:37)</w:t>
      </w:r>
    </w:p>
    <w:p>
      <w:r>
        <w:t>John has carefully assembled a testimony to Jesus through signs, conversations, public declarations, and encounters with people of remarkably different backgrounds. At the end of this public ministry, he offers a troubling assessment: although Jesus had performed many signs before them, many still did not believe in Him. The statement does not mean that no one believed, for John has already described substantial faith among individuals and crowds. Rather, it describes the persistent resistance that accompanied even extraordinary revelation. Signs disclose Jesus’ identity, but the observation of a sign does not mechanically produce trust in the One to whom it points. This conclusion prepares the reader for the Passion, where rejection will become open hostility and the glory of the Son will be disclosed through the cross.</w:t>
      </w:r>
    </w:p>
    <w:p>
      <w:pPr>
        <w:pStyle w:val="Heading1"/>
      </w:pPr>
      <w:r>
        <w:t>2. The Question of Evidence and Unbelief</w:t>
      </w:r>
    </w:p>
    <w:p>
      <w:r>
        <w:rPr/>
        <w:t>The phrase “</w:t>
      </w:r>
      <w:r>
        <w:rPr>
          <w:i w:val="1"/>
        </w:rPr>
        <w:t>so many signs</w:t>
      </w:r>
      <w:r>
        <w:rPr/>
        <w:t>” recalls the Gospel’s selected works of Jesus, including the healing of the man born blind and the raising of Lazarus. The issue is not an absence of evidence in John’s narrative but the response of persons confronted with that evidence. John does not invite us to conclude that every individual who witnessed a miracle had identical knowledge, motives, or opportunity. His theological assessment concerns a broad pattern of resistance. The Fourth Gospel repeatedly shows that prior commitments, fear, social pressures, and mistaken expectations can influence how people interpret what they see. Its account therefore challenges the assumption that greater information alone necessarily yields faithful allegiance.</w:t>
      </w:r>
    </w:p>
    <w:p>
      <w:pPr>
        <w:pStyle w:val="Heading1"/>
      </w:pPr>
      <w:r>
        <w:t>3. Isaiah 53:1 and the Unbelieved Report (12:38)</w:t>
      </w:r>
    </w:p>
    <w:p>
      <w:r>
        <w:t>John first cites Isaiah 53:1: “</w:t>
      </w:r>
      <w:r>
        <w:rPr>
          <w:i w:val="1"/>
        </w:rPr>
        <w:t>Lord, who has believed our report?</w:t>
      </w:r>
      <w:r>
        <w:t>” In Isaiah, this question introduces the astonishing portrayal of the servant whose humiliation and suffering confound ordinary expectations of divine victory. John reads the widespread unbelief surrounding Jesus as consonant with this prophetic witness. The citation does not imply that the message was defective or that the signs lacked meaning. Instead, it places the rejection of the Messiah within the larger scriptural pattern in which God’s saving action appears in a form that many refuse to recognize. The quotation also draws the reader toward the suffering and exaltation of Jesus, themes that will dominate the chapters immediately ahead.</w:t>
      </w:r>
    </w:p>
    <w:p>
      <w:pPr>
        <w:pStyle w:val="Heading1"/>
      </w:pPr>
      <w:r>
        <w:t>4. Isaiah 6 and the Hardening of Perception (12:39–40)</w:t>
      </w:r>
    </w:p>
    <w:p>
      <w:r>
        <w:t>The second citation comes from Isaiah 6:10, where the prophet’s commission is connected with a people whose eyes, ears, and hearts have become resistant. John’s wording emphasizes blindness and the hardening of the heart, culminating in the failure to turn and be healed. In Isaiah’s original setting, the prophetic message confronts entrenched rebellion and becomes an occasion of judgment. John sees a comparable dynamic in the rejection of Jesus. The difficult language should not be flattened into the idea that innocent people earnestly seeking God were arbitrarily denied the possibility of faith. Nor should the force of divine judgment be removed from the passage. The text holds before us the seriousness of resistance to revelation and the judicial consequences of persistent unbelief.</w:t>
      </w:r>
    </w:p>
    <w:p>
      <w:pPr>
        <w:pStyle w:val="Heading1"/>
      </w:pPr>
      <w:r>
        <w:t>5. “</w:t>
      </w:r>
      <w:r>
        <w:rPr>
          <w:i w:val="1"/>
        </w:rPr>
        <w:t>They Could Not Believe</w:t>
      </w:r>
      <w:r>
        <w:t>”: Judgment and Responsibility (12:39)</w:t>
      </w:r>
    </w:p>
    <w:p>
      <w:r>
        <w:rPr/>
        <w:t>John’s statement that they “</w:t>
      </w:r>
      <w:r>
        <w:rPr>
          <w:i w:val="1"/>
        </w:rPr>
        <w:t>could not believe</w:t>
      </w:r>
      <w:r>
        <w:rPr/>
        <w:t>” is stronger than saying merely that they chose not to believe. The evangelist interprets the situation through Isaiah’s prophecy and portrays a condition of spiritual incapacity associated with divine judgment. Christian interpreters differ on the precise relationship between this hardening and God’s sovereign purpose. Some emphasize God’s judicial handing over of those who have repeatedly resisted the truth; others place greater weight on the comprehensive divine purpose within which human responses occur. Whatever one’s broader theological framework, the immediate context does not absolve unbelief of moral significance. John describes real opposition to Jesus, while also insisting that the unfolding rejection stands within the scriptural account of God’s redemptive work.</w:t>
      </w:r>
    </w:p>
    <w:p>
      <w:pPr>
        <w:pStyle w:val="Heading1"/>
      </w:pPr>
      <w:r>
        <w:t>6. Isaiah Saw His Glory (12:41)</w:t>
      </w:r>
    </w:p>
    <w:p>
      <w:r>
        <w:t>John adds that Isaiah said these things because he saw His glory and spoke of Him. The nearest contextual referent is Jesus, so John presents Isaiah’s vision as bearing witness to the glory now revealed in Christ. Isaiah 6 depicts the Lord enthroned in holiness, while Isaiah 53 describes the servant’s humiliation. The juxtaposition is theologically striking: the Gospel that began by identifying the Word as divine now associates the glory seen by the prophet with Jesus, whose hour of apparent humiliation is approaching. John is not merely saying that Isaiah anticipated a future religious teacher. He understands the prophetic Scriptures as participating in a unified testimony to the divine glory disclosed in the Son. The details of how Isaiah’s vision relates to the preincarnate Christ remain debated, but the christological direction of John’s claim is unmistakable.</w:t>
      </w:r>
    </w:p>
    <w:p>
      <w:pPr>
        <w:pStyle w:val="Heading1"/>
      </w:pPr>
      <w:r>
        <w:t>7. Belief Without Confession (12:42–43)</w:t>
      </w:r>
    </w:p>
    <w:p>
      <w:r>
        <w:t>John immediately qualifies his account of unbelief by acknowledging that many even among the rulers believed in Jesus. Yet they did not confess Him openly because they feared exclusion from the synagogue. The narrative therefore distinguishes an inward recognition from public identification with Jesus. Their hesitation is explained in a memorable judgment: they loved the approval of people more than the approval of God. This observation invites serious reflection without authorizing us to pronounce confidently on the ultimate spiritual condition of every unnamed ruler. John records their compromised response, not a full biography of each person. The passage also reflects the social cost that confessing Jesus could carry within first-century Jewish communal life; it should not be used to caricature Jewish society as uniformly hostile to Him.</w:t>
      </w:r>
    </w:p>
    <w:p>
      <w:pPr>
        <w:pStyle w:val="Heading1"/>
      </w:pPr>
      <w:r>
        <w:t>8. The Historical Question of Synagogue Exclusion</w:t>
      </w:r>
    </w:p>
    <w:p>
      <w:r>
        <w:t>The fear of being put out of the synagogue appears elsewhere in John, particularly in the account of the man born blind (9:22). Scholars debate how the evangelist’s language relates to synagogue discipline during Jesus’ ministry and to the circumstances of Johannine believers later in the first century. We should resist treating a single later institutional arrangement as though it were certainly in place everywhere during Jesus’ lifetime. What the narrative clearly communicates is the genuine pressure associated with public confession and the possibility of losing standing within a religious community. That historical caution strengthens rather than weakens the ethical point: loyalty to God may require costly public integrity when reputation and belonging are at stake.</w:t>
      </w:r>
    </w:p>
    <w:p>
      <w:pPr>
        <w:pStyle w:val="Heading1"/>
      </w:pPr>
      <w:r>
        <w:t>9. To See Jesus Is to See the One Who Sent Him (12:44–45)</w:t>
      </w:r>
    </w:p>
    <w:p>
      <w:r>
        <w:t>Jesus’ concluding public appeal returns to a central claim of the Gospel: faith in Him cannot be separated from faith in the Father who sent Him. His words do not erase the distinction between Father and Son; rather, they assert the Son’s unique role as the Father’s revelation. To see Jesus is to encounter the visible manifestation of the invisible God’s character and saving purpose. This recalls the Prologue’s declaration that the only begotten God, who is in the bosom of the Father, has explained Him (1:18). Jesus therefore refuses the possibility of honoring God while dismissing the One whom God has sent. The point is relational and revelatory, not simply a demand for assent to an abstract doctrinal proposition.</w:t>
      </w:r>
    </w:p>
    <w:p>
      <w:pPr>
        <w:pStyle w:val="Heading1"/>
      </w:pPr>
      <w:r>
        <w:t>10. The Light and the Darkness (12:46)</w:t>
      </w:r>
    </w:p>
    <w:p>
      <w:r>
        <w:t>Jesus again identifies Himself as the light who has come into the world so that believers need not remain in darkness. The imagery reaches back to John 1:4–9 and has been developed through the healing of the blind man and the declaration in John 8:12. Darkness signifies more than ignorance; it includes estrangement from God and the moral confusion that accompanies rejection of His truth. Yet the statement is fundamentally invitational. Jesus has come to make possible a new condition of life in which people no longer remain where they were. Faith is thus portrayed as a decisive response to the light, not a claim that believers immediately possess exhaustive understanding or never again struggle with sin.</w:t>
      </w:r>
    </w:p>
    <w:p>
      <w:pPr>
        <w:pStyle w:val="Heading1"/>
      </w:pPr>
      <w:r>
        <w:t>11. “</w:t>
      </w:r>
      <w:r>
        <w:rPr>
          <w:i w:val="1"/>
        </w:rPr>
        <w:t>I Did Not Come to Judge the World</w:t>
      </w:r>
      <w:r>
        <w:t>” (12:47)</w:t>
      </w:r>
    </w:p>
    <w:p>
      <w:r>
        <w:t>Jesus says that He did not come to judge the world but to save it. At first glance, this may seem to conflict with other Johannine passages that speak of judgment (3:19; 5:22–30; 9:39). The distinction is one of the purpose of His saving mission and the judgment that follows rejection of His revelation. His coming is fundamentally redemptive: He offers life rather than arriving simply to execute condemnation. Yet salvation offered and refused has judicial implications. John’s Gospel does not present divine mercy and judgment as unrelated themes. The same revelation that brings life to those who receive it exposes the condition of those who reject it.</w:t>
      </w:r>
    </w:p>
    <w:p>
      <w:pPr>
        <w:pStyle w:val="Heading1"/>
      </w:pPr>
      <w:r>
        <w:t>12. The Word That Judges on the Last Day (12:48)</w:t>
      </w:r>
    </w:p>
    <w:p>
      <w:r>
        <w:t>The person who rejects Jesus and does not receive His sayings has a judge: the word Jesus has spoken will judge that person on the last day. This makes the response to Jesus’ message inseparable from the final accountability of human life. The reference to the last day recalls the resurrection language of John 6 and Martha’s confession in John 11. Judgment is not depicted as a surprising standard invented after the fact; the decisive testimony has already been given in Jesus’ own words. The seriousness of the warning is matched by the openness of the preceding invitation. The one who speaks of final judgment is also the One who came to save the world.</w:t>
      </w:r>
    </w:p>
    <w:p>
      <w:pPr>
        <w:pStyle w:val="Heading1"/>
      </w:pPr>
      <w:r>
        <w:t>13. The Father’s Commandment Is Eternal Life (12:49–50)</w:t>
      </w:r>
    </w:p>
    <w:p>
      <w:r>
        <w:t>Jesus closes by explaining that He has not spoken on His own initiative but according to the Father’s command concerning what to say and speak. The term “commandment” here should not be reduced to an impersonal rule; it expresses the complete correspondence between the Son’s mission and the Father’s saving will. Jesus declares that the Father’s commandment is eternal life. The source, content, and aim of His message are therefore united. In the Gospel’s theology, eternal life is not merely an endless extension of existence, but life received through the Son in fellowship with the Father (17:3). The closing statement prepares for the farewell discourse, where Jesus will continue to reveal the Father’s words to His disciples.</w:t>
      </w:r>
    </w:p>
    <w:p>
      <w:pPr>
        <w:pStyle w:val="Heading1"/>
      </w:pPr>
      <w:r>
        <w:t>14. Theological Synthesis: Revelation, Response, and Accountability</w:t>
      </w:r>
    </w:p>
    <w:p>
      <w:r>
        <w:t>John 12:37–50 gathers several threads that have shaped the Gospel from its opening chapter: the light has entered the world, signs bear witness to Jesus, Scripture anticipates His mission, and people must respond to the revelation of God in the Son. Isaiah’s testimony reveals the depth of unbelief without rendering human responsibility meaningless. The rulers’ secret belief exposes the danger of allowing social approval to govern allegiance to Christ. Jesus’ final appeal joins the promise of salvation with the certainty of judgment, while insisting that His words communicate the Father’s own purpose of eternal life. The passage stands at a literary threshold. Public signs have been presented; now the narrative turns toward the hour in which the Son’s glory will be revealed through love, suffering, death, and resurrection.</w:t>
      </w:r>
    </w:p>
    <w:p>
      <w:pPr>
        <w:pStyle w:val="Heading1"/>
      </w:pPr>
      <w:r>
        <w:t>15. Contemporary Application: Hearing the Word Without Resisting It</w:t>
      </w:r>
    </w:p>
    <w:p>
      <w:r>
        <w:t>The contemporary reader should resist using this passage primarily to diagnose the blindness of other people. Its first searching question is whether our own commitments permit the words of Jesus to correct us. It is possible to admire Christian teaching while withholding the obedience and confession that discipleship requires. It is also possible to value religious standing so highly that the approval of others becomes more influential than the approval of God. John invites a more integrated response: careful attention to Jesus’ words, honest acknowledgment of the evidence presented, and a willingness to follow the light even when doing so entails personal cost. Such faith does not depend on perfect courage, but it cannot comfortably make fear of people its governing principle.</w:t>
      </w:r>
    </w:p>
    <w:p>
      <w:pPr>
        <w:pStyle w:val="Heading1"/>
      </w:pPr>
      <w:r>
        <w:t>Interpretive Cautions and Teaching Notes</w:t>
      </w:r>
    </w:p>
    <w:p>
      <w:r>
        <w:t>First, the language of hardening in John 12 must be read with Isaiah 6 and the Gospel’s wider testimony; it should not be detached from the repeated invitations to believe. Second, the expression “the Jews” in the Fourth Gospel varies by context and must never be generalized into an indictment of Jewish people as a whole. Jesus, His earliest disciples, and the prophetic authors invoked here were themselves Jewish. Third, the precise historical development of synagogue exclusion remains debated and should not be presented with unwarranted certainty. Fourth, John 12:42 does not provide sufficient information to settle the salvation of every ruler who believed privately. Finally, Jesus’ words about coming to save rather than judge must be held together with His equally explicit teaching concerning judgment on the last day.</w:t>
      </w:r>
    </w:p>
    <w:p>
      <w:pPr>
        <w:pStyle w:val="Heading1"/>
      </w:pPr>
      <w:r>
        <w:t>Scripture Connections for Further Study</w:t>
      </w:r>
    </w:p>
    <w:p>
      <w:r>
        <w:t>Isaiah 6:1–13; 52:13–53:12; John 1:1–18; 3:16–21; 5:19–30; 6:39–40; 8:12–30; 9:1–41; 11:25–27; 12:20–36; 14:6–11; 17:1–5; Romans 9–11. These passages provide the principal literary and theological contexts for exploring revelation, hardening, divine glory, confession, and the relationship between salvation and judgment.</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08"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39  |  John 12:37–50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40"/>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mbria" w:hAnsi="Cambria"/>
      <w:b/>
      <w:bCs/>
      <w:color w:val="1B3B58"/>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20"/>
      <w:contextualSpacing/>
    </w:pPr>
    <w:rPr>
      <w:rFonts w:asciiTheme="majorHAnsi" w:eastAsiaTheme="majorEastAsia" w:hAnsiTheme="majorHAnsi" w:cstheme="majorBidi" w:ascii="Cambria" w:hAnsi="Cambria"/>
      <w:b/>
      <w:color w:val="1B3B5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