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THE GOSPEL ACCORDING TO JOHN</w:t>
      </w:r>
    </w:p>
    <w:p>
      <w:pPr>
        <w:pStyle w:val="Subtitle"/>
      </w:pPr>
      <w:r>
        <w:t>STUDY 43  |  JOHN 14:1–14  |  NASB 1977</w:t>
      </w:r>
    </w:p>
    <w:p>
      <w:pPr>
        <w:pStyle w:val="Heading1"/>
      </w:pPr>
      <w:r>
        <w:t>Let Not Your Heart Be Troubled</w:t>
      </w:r>
    </w:p>
    <w:p>
      <w:pPr>
        <w:pStyle w:val="Subtitle"/>
      </w:pPr>
      <w:r>
        <w:t>The Father’s House, the Way to the Father, and the Revelation of God in Christ</w:t>
      </w:r>
    </w:p>
    <w:p>
      <w:pPr>
        <w:pStyle w:val="Heading1"/>
      </w:pPr>
      <w:r>
        <w:t>1. The Setting: Comfort on the Threshold of the Cross</w:t>
      </w:r>
    </w:p>
    <w:p>
      <w:r>
        <w:t>The opening words of John 14 belong to the conversation begun in chapter 13. Judas has departed into the night, Jesus has announced that He is going where the disciples cannot presently follow, and Peter has heard the unsettling prediction of his own denial (13:21–38). The command not to let their hearts be troubled therefore does not arise in a peaceful setting. Jesus speaks into the distress of men who have committed themselves to Him and now face the apparent collapse of their expectations. His response is not to conceal the approaching crisis but to direct their confidence toward God and toward Himself. The entire discourse should be read as preparation for His death, resurrection, departure, and the disciples’ continuing life in His absence.</w:t>
      </w:r>
    </w:p>
    <w:p>
      <w:pPr>
        <w:pStyle w:val="Heading1"/>
      </w:pPr>
      <w:r>
        <w:t>2. “</w:t>
      </w:r>
      <w:r>
        <w:rPr>
          <w:i w:val="1"/>
        </w:rPr>
        <w:t>Believe in God; Believe Also in Me</w:t>
      </w:r>
      <w:r>
        <w:t>” (14:1)</w:t>
      </w:r>
    </w:p>
    <w:p>
      <w:r>
        <w:t>The Greek forms of the verb pisteuō in verse 1 can be read either as imperatives or as indicatives, which accounts for the familiar translation “</w:t>
      </w:r>
      <w:r>
        <w:rPr>
          <w:i w:val="1"/>
        </w:rPr>
        <w:t>Believe in God, believe also in Me</w:t>
      </w:r>
      <w:r>
        <w:t>” and the possible sense “</w:t>
      </w:r>
      <w:r>
        <w:rPr>
          <w:i w:val="1"/>
        </w:rPr>
        <w:t>You believe in God; believe also in Me.</w:t>
      </w:r>
      <w:r>
        <w:t>” In context, the practical thrust is similar: Jesus calls His followers to place in Him the trust they profess toward God. This is a striking claim. Jesus does not merely advise religious faith as a remedy for anxiety; He makes Himself its proper object alongside the Father. The command does not promise an immediate end to distress, for the disciples will soon experience fear and confusion. Rather, it establishes the foundation on which their confidence can endure.</w:t>
      </w:r>
    </w:p>
    <w:p>
      <w:pPr>
        <w:pStyle w:val="Heading1"/>
      </w:pPr>
      <w:r>
        <w:t>3. The Father’s House and the Many Dwelling Places (14:2)</w:t>
      </w:r>
    </w:p>
    <w:p>
      <w:r>
        <w:t>Jesus speaks of His Father’s house as containing many dwelling places, using the noun monē, which denotes a place of abiding or residence. The traditional English “mansions” should not be made the basis for elaborate descriptions of differing heavenly estates. The emphasis falls upon the sufficiency of the Father’s household and the assurance that Jesus’ disciples will have a place with Him. The same noun appears again in 14:23, where the Father and Son make their dwelling with the believer, an illuminating verbal connection without requiring the two verses to describe precisely the same reality. Jesus’ promise is personal and relational before it is architectural: His followers are not being abandoned, and their future is secured in communion with Him.</w:t>
      </w:r>
    </w:p>
    <w:p>
      <w:pPr>
        <w:pStyle w:val="Heading1"/>
      </w:pPr>
      <w:r>
        <w:t>4. “</w:t>
      </w:r>
      <w:r>
        <w:rPr>
          <w:i w:val="1"/>
        </w:rPr>
        <w:t>I Go to Prepare a Place for You</w:t>
      </w:r>
      <w:r>
        <w:t>” (14:2–3)</w:t>
      </w:r>
    </w:p>
    <w:p>
      <w:r>
        <w:t>Jesus’ going must be understood in light of the whole Johannine narrative. His path to the Father runs through the cross, resurrection, and exaltation; it is not merely a journey to arrange heavenly accommodations. His saving work establishes the disciples’ access to the Father and guarantees their future fellowship with Him. When He promises, “</w:t>
      </w:r>
      <w:r>
        <w:rPr>
          <w:i w:val="1"/>
        </w:rPr>
        <w:t>I will come again, and receive you to Myself,</w:t>
      </w:r>
      <w:r>
        <w:t>” interpreters debate whether the primary reference is to His resurrection appearances, the coming of the Spirit, the believer’s death, or His ultimate return. The future-oriented promise that they may be where He is naturally points toward consummated fellowship, and it coheres with the wider New Testament hope of Christ’s return. Nevertheless, the passage should not be pressed into a detailed timetable of end-time events that Jesus does not supply here.</w:t>
      </w:r>
    </w:p>
    <w:p>
      <w:pPr>
        <w:pStyle w:val="Heading1"/>
      </w:pPr>
      <w:r>
        <w:t>5. Thomas’s Honest Question (14:4–5)</w:t>
      </w:r>
    </w:p>
    <w:p>
      <w:r>
        <w:t>Jesus says that the disciples know the way to where He is going, but Thomas replies that they do not know His destination and therefore cannot know the route. Thomas’s question is not simply evidence of stubborn unbelief. It expresses the gap between the disciples’ understanding of Jesus’ mission and the reality He is revealing. Like Nicodemus in chapter 3 and the Samaritan woman in chapter 4, Thomas begins from a concrete, ordinary understanding of Jesus’ language, providing the occasion for a deeper disclosure. The narrative invites readers to recognize that the destination is the Father and that access to Him cannot be separated from the person and work of the Son.</w:t>
      </w:r>
    </w:p>
    <w:p>
      <w:pPr>
        <w:pStyle w:val="Heading1"/>
      </w:pPr>
      <w:r>
        <w:t>6. “</w:t>
      </w:r>
      <w:r>
        <w:rPr>
          <w:i w:val="1"/>
        </w:rPr>
        <w:t>I Am the Way, and the Truth, and the Life</w:t>
      </w:r>
      <w:r>
        <w:t>” (14:6)</w:t>
      </w:r>
    </w:p>
    <w:p>
      <w:r>
        <w:t>Jesus’ response is among the Gospel’s most concentrated statements of His identity. The emphatic “I am” (egō eimi) introduces three coordinated descriptions. He is the way because access to the Father is through Him; He is the truth because He faithfully discloses the Father and embodies divine revelation; He is the life because the life of God is given through Him (compare 1:4; 5:26; 11:25). These are not three unrelated religious benefits. Together they express the sufficiency of Jesus as revealer and mediator. His claim, “</w:t>
      </w:r>
      <w:r>
        <w:rPr>
          <w:i w:val="1"/>
        </w:rPr>
        <w:t>no one comes to the Father, but through Me,</w:t>
      </w:r>
      <w:r>
        <w:t>” is explicitly exclusive concerning the means of access, while the Gospel’s larger witness also emphasizes the breadth of God’s saving invitation (3:16–17; 12:32). Faithful interpretation should neither dilute the exclusivity of Jesus’ claim nor turn it into an excuse for contempt toward those who do not share Christian faith.</w:t>
      </w:r>
    </w:p>
    <w:p>
      <w:pPr>
        <w:pStyle w:val="Heading1"/>
      </w:pPr>
      <w:r>
        <w:t>7. Knowing the Son and Knowing the Father (14:7)</w:t>
      </w:r>
    </w:p>
    <w:p>
      <w:r>
        <w:t>Jesus tells the disciples that knowing Him entails knowing the Father. The statement belongs to John’s sustained emphasis that the Son makes the unseen God known (1:18). It does not mean that the Father and Son are interchangeable persons, for Jesus continues to distinguish the One who sends from the One who is sent. Rather, their relationship is such that the character, purpose, and saving activity of the Father are authentically disclosed in the Son. Jesus’ words also challenge the assumption that one can set aside His revelation and nevertheless claim an adequate understanding of the Father. Within John’s theology, the Son is not a barrier between humanity and God; He is God’s appointed self-revelation and the way into fellowship with Him.</w:t>
      </w:r>
    </w:p>
    <w:p>
      <w:pPr>
        <w:pStyle w:val="Heading1"/>
      </w:pPr>
      <w:r>
        <w:t>8. Philip’s Request: “</w:t>
      </w:r>
      <w:r>
        <w:rPr>
          <w:i w:val="1"/>
        </w:rPr>
        <w:t>Show Us the Father</w:t>
      </w:r>
      <w:r>
        <w:t>” (14:8–9)</w:t>
      </w:r>
    </w:p>
    <w:p>
      <w:r>
        <w:t>Philip asks Jesus to show them the Father, saying that such a revelation would be sufficient. His request recalls biblical longings to behold God’s glory, especially Moses’ petition in Exodus 33:18. Jesus answers with gentle but searching disappointment: after so long in His company, Philip still has not grasped what His presence reveals. “</w:t>
      </w:r>
      <w:r>
        <w:rPr>
          <w:i w:val="1"/>
        </w:rPr>
        <w:t>He who has seen Me has seen the Father</w:t>
      </w:r>
      <w:r>
        <w:t>” must be interpreted in the context of representation and revelation, not as a denial of the distinction between Father and Son. Jesus makes the Father known perfectly because He shares an unparalleled unity with Him. The incarnate Son is therefore the decisive revelation of God’s character, rather than merely another prophet pointing beyond himself.</w:t>
      </w:r>
    </w:p>
    <w:p>
      <w:pPr>
        <w:pStyle w:val="Heading1"/>
      </w:pPr>
      <w:r>
        <w:t>9. Mutual Indwelling and the Witness of the Works (14:10–11)</w:t>
      </w:r>
    </w:p>
    <w:p>
      <w:r>
        <w:t>Jesus explains His relationship with the Father in terms of mutual indwelling: He is in the Father, and the Father is in Him. The language anticipates the fuller discussion of union and abiding in chapters 15 and 17, but here its immediate function is to explain why Jesus’ words and works disclose the Father. He does not speak independently as a competing authority; the Father abiding in Him accomplishes His works. Jesus invites the disciples to believe His testimony, or at least to recognize the significance of the works themselves. John consistently presents the signs as witnesses to Jesus’ identity, though the narrative also demonstrates that miraculous evidence does not automatically produce faith (12:37). The works support the claim, but their meaning is properly understood in relation to the person who performs them.</w:t>
      </w:r>
    </w:p>
    <w:p>
      <w:pPr>
        <w:pStyle w:val="Heading1"/>
      </w:pPr>
      <w:r>
        <w:t>10. Greater Works and the Departure to the Father (14:12)</w:t>
      </w:r>
    </w:p>
    <w:p>
      <w:r>
        <w:t>The promise that believers will do the works Jesus does, and even “greater works,” has prompted exaggerated claims that every Christian should perform miracles surpassing those of Jesus in spectacular power. Yet Jesus immediately grounds the promise in His going to the Father. In John’s narrative, His death, resurrection, and exaltation inaugurate the disciples’ Spirit-empowered witness, through which the saving significance of His completed work will be proclaimed widely. “Greater” can therefore describe the redemptive-historical reach and fruit of the disciples’ ministry rather than a competition in miraculous magnitude. This reading does not rule out God’s extraordinary acts, but it keeps the promise connected to Jesus’ departure, the coming of the Spirit, and the Gospel’s mission-oriented setting.</w:t>
      </w:r>
    </w:p>
    <w:p>
      <w:pPr>
        <w:pStyle w:val="Heading1"/>
      </w:pPr>
      <w:r>
        <w:t>11. Asking in Jesus’ Name (14:13–14)</w:t>
      </w:r>
    </w:p>
    <w:p>
      <w:r>
        <w:t>Jesus promises to act in response to requests made in His name so that the Father may be glorified in the Son. Praying in His name is not a verbal formula that compels divine compliance, nor does it turn every personal desire into a guaranteed outcome. Within the discourse, the phrase implies an appeal grounded in Jesus’ identity, authority, mission, and relationship with the Father. Its purpose is expressly theological: the Father’s glory in the Son. Later teaching will connect answered prayer with abiding in Christ and bearing fruit (15:7–8, 16), helping readers understand the promise within the life of obedient discipleship. The textual tradition of verse 14 varies as to the inclusion of “Me” (“</w:t>
      </w:r>
      <w:r>
        <w:rPr>
          <w:i w:val="1"/>
        </w:rPr>
        <w:t>If you ask Me anything in My name</w:t>
      </w:r>
      <w:r>
        <w:t>”); either reading preserves Jesus’ central promise to act in accordance with His name and the Father’s glory.</w:t>
      </w:r>
    </w:p>
    <w:p>
      <w:pPr>
        <w:pStyle w:val="Heading1"/>
      </w:pPr>
      <w:r>
        <w:t>12. Theological Synthesis: The Son Reveals and Brings Us to the Father</w:t>
      </w:r>
    </w:p>
    <w:p>
      <w:r>
        <w:t>The passage joins pastoral comfort to an exceptionally high understanding of Christ. Jesus consoles His disciples not by minimizing the cross but by assuring them that His departure serves their ultimate good. He prepares their place, receives them to Himself, reveals the Father, and continues His work through their prayers and witness. The recurring theme is not the independence of the disciple but the sufficiency of the Son. John’s Christology and discipleship are inseparable: because Jesus is the way, truth, and life, the disciples may trust Him when the path ahead is obscure. Because He reveals the Father, their faith has a reliable object. Because He acts for the Father’s glory, their prayers and mission find their proper orientation.</w:t>
      </w:r>
    </w:p>
    <w:p>
      <w:pPr>
        <w:pStyle w:val="Heading1"/>
      </w:pPr>
      <w:r>
        <w:t>13. Contemporary Application: Confidence Without Presumption</w:t>
      </w:r>
    </w:p>
    <w:p>
      <w:r>
        <w:t>Christians often quote the opening promise at funerals, and its assurance of lasting fellowship with Christ offers legitimate comfort in bereavement. Yet the original setting also addresses the living disciples who must face confusion, disappointment, and an uncertain future. The passage invites believers to entrust themselves to Christ without claiming to understand every turn of providence. It calls the church to make Jesus central in its teaching rather than treating Him as one spiritual resource among many. It also disciplines Christian prayer: to ask in Jesus’ name is to seek what accords with His purposes and glorifies the Father, not to attach sacred language to self-interest. Finally, the promise of a place with Christ redirects hope from speculation about heavenly possessions toward the far greater gift of being with Him.</w:t>
      </w:r>
    </w:p>
    <w:p>
      <w:pPr>
        <w:pStyle w:val="Heading1"/>
      </w:pPr>
      <w:r>
        <w:t>14. Interpretive Cautions and Cross-References</w:t>
      </w:r>
    </w:p>
    <w:p>
      <w:r>
        <w:rPr/>
        <w:t>Several cautions protect the text from familiar distortions. The “</w:t>
      </w:r>
      <w:r>
        <w:rPr>
          <w:i w:val="1"/>
        </w:rPr>
        <w:t>many dwelling places</w:t>
      </w:r>
      <w:r>
        <w:rPr/>
        <w:t>” do not establish ranks of heavenly luxury; “greater works” should not be severed from Jesus’ return to the Father; and prayer in Jesus’ name should not be presented as an unconditional mechanism for receiving whatever is requested. The claim that Jesus alone is the way to the Father should be taught with clarity and humility rather than triumphalism. Relevant passages for further study include Exodus 33:18–23; John 1:1–18; 5:19–26; 11:25–26; 13:33–38; 14:15–27; 15:1–8; 16:23–28; 17:1–5, 20–26; Hebrews 10:19–22; and 1 Thessalonians 4:13–18. Together they reinforce the passage’s emphasis on divine revelation, access to God, the work of the Spirit, and the future hope of fellowship with Christ.</w:t>
      </w:r>
    </w:p>
    <w:p>
      <w:pPr>
        <w:pStyle w:val="Caption"/>
      </w:pPr>
      <w:r>
        <w:rPr>
          <w:sz w:val="16"/>
        </w:rPr>
        <w:t>Scripture references and brief quotations follow the New American Standard Bible, 1977 edition. Scripture quotations taken from the (NASB®) New American Standard Bible®, Copyright © 1960, 1971, 1977, 1995, 2020 by The Lockman Foundation. Used by permission. All rights reserved. www.Lockman.org</w:t>
      </w:r>
    </w:p>
    <w:sectPr w:rsidR="00FC693F" w:rsidRPr="0006063C" w:rsidSect="00034616">
      <w:footerReference w:type="default" r:id="rId9"/>
      <w:pgSz w:w="12240" w:h="15840"/>
      <w:pgMar w:top="1123" w:right="1325" w:bottom="1008" w:left="1325"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The Gospel According to John  •  Study 43  •  John 14:1–14</w:t>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40" w:line="276" w:lineRule="auto"/>
    </w:pPr>
    <w:rPr>
      <w:rFonts w:ascii="Cambria" w:hAnsi="Cambria"/>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00" w:after="80"/>
      <w:outlineLvl w:val="0"/>
    </w:pPr>
    <w:rPr>
      <w:rFonts w:asciiTheme="majorHAnsi" w:eastAsiaTheme="majorEastAsia" w:hAnsiTheme="majorHAnsi" w:cstheme="majorBidi" w:ascii="Cambria" w:hAnsi="Cambria"/>
      <w:b/>
      <w:bCs/>
      <w:color w:val="1E3A56"/>
      <w:sz w:val="24"/>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80" w:line="240" w:lineRule="auto" w:before="200"/>
      <w:contextualSpacing/>
    </w:pPr>
    <w:rPr>
      <w:rFonts w:asciiTheme="majorHAnsi" w:eastAsiaTheme="majorEastAsia" w:hAnsiTheme="majorHAnsi" w:cstheme="majorBidi" w:ascii="Cambria" w:hAnsi="Cambria"/>
      <w:b/>
      <w:color w:val="1E3A56"/>
      <w:spacing w:val="5"/>
      <w:kern w:val="28"/>
      <w:sz w:val="38"/>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