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51 — That They May All Be One</w:t>
      </w:r>
    </w:p>
    <w:p>
      <w:r>
        <w:rPr>
          <w:b/>
        </w:rPr>
        <w:t>Jesus’ Prayer for Future Believers and the Glory of Christian Unity</w:t>
      </w:r>
    </w:p>
    <w:p>
      <w:pPr>
        <w:pStyle w:val="Subtitle"/>
      </w:pPr>
      <w:r>
        <w:t>John 17:20–26  |  New American Standard Bible (1977)</w:t>
      </w:r>
    </w:p>
    <w:p>
      <w:pPr>
        <w:pStyle w:val="Heading1"/>
      </w:pPr>
      <w:r>
        <w:t>1. The Widening Circle of Jesus’ Prayer (17:20)</w:t>
      </w:r>
    </w:p>
    <w:p>
      <w:r>
        <w:t>Jesus has prayed for the disciples whom the Father entrusted to Him, asking for their protection, sanctification, and unity as they are sent into the world. He now explicitly widens His petition to embrace people who have not yet heard the apostolic witness. This transition is decisive for the church’s understanding of the prayer: believers in subsequent generations are not merely borrowing words spoken for another audience, for Jesus specifically includes those who will believe through the disciples’ message. The setting remains the final hours before His arrest. His concern for a community extending beyond His earthly lifetime therefore belongs to the purpose of His approaching death and resurrection, not to an incidental hope for religious harmony.</w:t>
      </w:r>
    </w:p>
    <w:p>
      <w:pPr>
        <w:pStyle w:val="Heading1"/>
      </w:pPr>
      <w:r>
        <w:t>2. “</w:t>
      </w:r>
      <w:r>
        <w:rPr>
          <w:i w:val="1"/>
        </w:rPr>
        <w:t>Through Their Word</w:t>
      </w:r>
      <w:r>
        <w:t>”: The Apostolic Witness (17:20)</w:t>
      </w:r>
    </w:p>
    <w:p>
      <w:r>
        <w:t>The future believers Jesus envisions will come to faith through the word of His first disciples. The phrase locates the church’s continuing life within a historical chain of testimony. Jesus’ revelation is not reinvented by each generation; it is announced by witnesses who heard His teaching and encountered the events of His ministry, death, and resurrection. John’s Gospel itself repeatedly emphasizes eyewitness testimony and the purpose of written witness (19:35; 20:30–31; 21:24). This verse therefore joins the unity of the church to the reliability and substance of its proclamation. Unity cannot be detached from the Christ to whom the apostolic word bears witness, even when Christians must exercise humility about their interpretations.</w:t>
      </w:r>
    </w:p>
    <w:p>
      <w:pPr>
        <w:pStyle w:val="Heading1"/>
      </w:pPr>
      <w:r>
        <w:t>3. The Content of the Petition: “</w:t>
      </w:r>
      <w:r>
        <w:rPr>
          <w:i w:val="1"/>
        </w:rPr>
        <w:t>That They May All Be One</w:t>
      </w:r>
      <w:r>
        <w:t>” (17:21)</w:t>
      </w:r>
    </w:p>
    <w:p>
      <w:r>
        <w:t>The Greek construction expresses the purpose of Jesus’ request: that all these believers may be one. The word “all” prevents restricting His concern to an inner circle of exceptionally mature disciples or to a single local assembly. Yet “one” is not defined by an organizational blueprint. Jesus immediately identifies the Father and Son as the pattern and source of the desired unity. The passage concerns a people bound together by their relationship to God through Christ, a unity that should become recognizable in their common life. The prayer neither erases legitimate differences of personality and calling nor makes every disagreement a denial of discipleship. It does, however, challenge divisions rooted in rivalry, pride, and indifference to fellow believers.</w:t>
      </w:r>
    </w:p>
    <w:p>
      <w:pPr>
        <w:pStyle w:val="Heading1"/>
      </w:pPr>
      <w:r>
        <w:t>4. “</w:t>
      </w:r>
      <w:r>
        <w:rPr>
          <w:i w:val="1"/>
        </w:rPr>
        <w:t>As You, Father, Are in Me, and I in You</w:t>
      </w:r>
      <w:r>
        <w:t>” (17:21)</w:t>
      </w:r>
    </w:p>
    <w:p>
      <w:r>
        <w:t>Jesus uses His communion with the Father as the model for the unity of His people. Throughout John, Father and Son are distinguished personally while sharing a unique relationship of love, knowledge, action, and purpose (5:19–23; 10:30; 14:10–11). Believers do not become divine, nor do they enter the eternal relationship of Father and Son in precisely the same manner as the incarnate Son. Their unity is analogous and participatory: they are brought into fellowship with God through Jesus and are consequently joined to one another. The comparison establishes both the depth and the limits of the analogy. Christian unity should reflect the divine relationship without collapsing the distinction between Creator and creatures.</w:t>
      </w:r>
    </w:p>
    <w:p>
      <w:pPr>
        <w:pStyle w:val="Heading1"/>
      </w:pPr>
      <w:r>
        <w:t>5. “</w:t>
      </w:r>
      <w:r>
        <w:rPr>
          <w:i w:val="1"/>
        </w:rPr>
        <w:t>That They Also May Be in Us</w:t>
      </w:r>
      <w:r>
        <w:t>” (17:21)</w:t>
      </w:r>
    </w:p>
    <w:p>
      <w:r>
        <w:t>The request that believers may be “in us” reaches beyond mere cooperation. John’s Gospel has already described life in Christ through the imagery of branches abiding in the vine (15:1–8), and Jesus has promised that the Father and Son will make their dwelling with the one who loves Him (14:23). These expressions communicate genuine fellowship and dependence, not physical incorporation into God. The church’s unity is thus derivative rather than self-generated. Common participation in Christ provides the foundation for a common life marked by truth and love. Programs and structures may serve that unity, but they cannot create its spiritual reality independently of the Lord who gives it.</w:t>
      </w:r>
    </w:p>
    <w:p>
      <w:pPr>
        <w:pStyle w:val="Heading1"/>
      </w:pPr>
      <w:r>
        <w:t>6. “</w:t>
      </w:r>
      <w:r>
        <w:rPr>
          <w:i w:val="1"/>
        </w:rPr>
        <w:t>So That the World May Believe</w:t>
      </w:r>
      <w:r>
        <w:t>” (17:21)</w:t>
      </w:r>
    </w:p>
    <w:p>
      <w:r>
        <w:t>Jesus connects the visible unity of believers with the world’s response to His mission. In the immediate context, “the world” includes those who have not received His revelation and may be hostile to it, yet it remains the world to which God has sent the Son (3:16–17). The church’s shared life is therefore meant to corroborate, not replace, its verbal witness. The verse does not promise that every observer will believe whenever Christians agree, nor does it imply that the truth of the gospel depends upon flawless human conduct. It does insist that hostility and needless division among those who proclaim divine reconciliation can obscure the credibility of their testimony.</w:t>
      </w:r>
    </w:p>
    <w:p>
      <w:pPr>
        <w:pStyle w:val="Heading1"/>
      </w:pPr>
      <w:r>
        <w:t>7. The Glory Given to Believers (17:22)</w:t>
      </w:r>
    </w:p>
    <w:p>
      <w:r>
        <w:t>Jesus says He has given His disciples the glory the Father gave Him, so that they may be one. The statement should be read alongside the Gospel’s distinctive understanding of glory, especially the revelation of divine love through the Son’s obedience and the cross (12:23–28; 13:31–32). It cannot mean that believers receive the Son’s eternal deity or possess His unique divine prerogatives. Rather, the glory communicated to them concerns their participation in the revelation and life made available through His mission. Interpretations differ concerning the precise emphasis, whether revelation, transformed life, or anticipated eschatological glory; the immediate purpose is clear: the gift serves the unity of those who belong to Him.</w:t>
      </w:r>
    </w:p>
    <w:p>
      <w:pPr>
        <w:pStyle w:val="Heading1"/>
      </w:pPr>
      <w:r>
        <w:t>8. “</w:t>
      </w:r>
      <w:r>
        <w:rPr>
          <w:i w:val="1"/>
        </w:rPr>
        <w:t>I in Them, and You in Me</w:t>
      </w:r>
      <w:r>
        <w:t>” (17:23)</w:t>
      </w:r>
    </w:p>
    <w:p>
      <w:r>
        <w:t>Jesus repeats the language of mutual indwelling and asks that His followers be perfected in unity. The verb suggests bringing something to its intended completion rather than claiming that believers have already achieved moral perfection. Unity matures as the community increasingly lives according to the relationship established through Christ. This is neither a demand for superficial agreement nor an excuse to avoid difficult questions of doctrine and conduct. Jesus has just prayed that His disciples be sanctified in the truth (17:17). The two petitions belong together: truth without love can be wielded destructively, while appeals to love that disregard truth cannot adequately represent the unity for which Jesus prays.</w:t>
      </w:r>
    </w:p>
    <w:p>
      <w:pPr>
        <w:pStyle w:val="Heading1"/>
      </w:pPr>
      <w:r>
        <w:t>9. Loved as the Son Is Loved (17:23)</w:t>
      </w:r>
    </w:p>
    <w:p>
      <w:r>
        <w:t>The prayer reaches a remarkable claim: the world is to know that the Father sent Jesus and loved His people even as He loved the Son. The comparison expresses the extraordinary generosity of divine love toward believers. It does not erase the unique eternal sonship of Christ or imply that God’s relationship to creatures is identical in every respect to His relationship with His Son. Rather, through the Son’s saving work, people are welcomed into a relationship whose origin and security lie in the Father’s love. The verse provides a powerful corrective to the idea that Christian belonging is established by religious performance. The community’s calling grows out of love already given.</w:t>
      </w:r>
    </w:p>
    <w:p>
      <w:pPr>
        <w:pStyle w:val="Heading1"/>
      </w:pPr>
      <w:r>
        <w:t>10. Jesus’ Desire That His People Be with Him (17:24)</w:t>
      </w:r>
    </w:p>
    <w:p>
      <w:r>
        <w:t>Jesus now expresses His will that those given to Him should be with Him where He is, so that they may behold His glory. The request recalls His earlier promise to prepare a place and receive His disciples to Himself (14:1–3). Christian hope is thus more personal than the prospect of a desirable destination. Its heart is continued fellowship with Christ and the unveiling of His glory. The prayer does not provide a detailed geography of heaven or a timetable for the resurrection. It does establish the goal of salvation in relational terms: those who belong to the Son are destined to be with Him and to see the glory that presently exceeds their sight.</w:t>
      </w:r>
    </w:p>
    <w:p>
      <w:pPr>
        <w:pStyle w:val="Heading1"/>
      </w:pPr>
      <w:r>
        <w:t>11. Glory and Love Before the Foundation of the World (17:24)</w:t>
      </w:r>
    </w:p>
    <w:p>
      <w:r>
        <w:t>Jesus speaks of the Father’s love for Him before the foundation of the world. This statement resonates with John 1:1–3 and 17:5, where the Son’s existence and glory precede creation. The Gospel therefore does not portray Jesus as a merely human teacher who acquires divine significance through His achievements. His mission proceeds from an eternal relationship with the Father. The text also guards against imagining that divine love began only when human beings appeared. Love belongs to the Father–Son relationship before the created order existed. While later Christian theology explores the implications of this language for Trinitarian doctrine, the exegetical foundation here is Jesus’ explicit claim to preexistent glory and love.</w:t>
      </w:r>
    </w:p>
    <w:p>
      <w:pPr>
        <w:pStyle w:val="Heading1"/>
      </w:pPr>
      <w:r>
        <w:t>12. “</w:t>
      </w:r>
      <w:r>
        <w:rPr>
          <w:i w:val="1"/>
        </w:rPr>
        <w:t>O Righteous Father</w:t>
      </w:r>
      <w:r>
        <w:t>”: Knowing and Not Knowing (17:25)</w:t>
      </w:r>
    </w:p>
    <w:p>
      <w:r>
        <w:t>Jesus addresses the Father as righteous and contrasts the world’s failure to know Him with His own knowledge and the disciples’ recognition that He was sent by the Father. In John, knowing God is inseparable from receiving His self-disclosure in the Son (1:18; 14:6–9). This contrast is theological rather than ethnic: Jesus and His first disciples are Jewish, and the Gospel records differing responses among Jewish hearers as well as among others. The point is not that a particular people lacks the capacity for knowledge of God, but that the Father is truly made known through Jesus. The disciples’ recognition is real, although their understanding continues to develop after the resurrection.</w:t>
      </w:r>
    </w:p>
    <w:p>
      <w:pPr>
        <w:pStyle w:val="Heading1"/>
      </w:pPr>
      <w:r>
        <w:t>13. “</w:t>
      </w:r>
      <w:r>
        <w:rPr>
          <w:i w:val="1"/>
        </w:rPr>
        <w:t>I Have Made Your Name Known</w:t>
      </w:r>
      <w:r>
        <w:t>” (17:26)</w:t>
      </w:r>
    </w:p>
    <w:p>
      <w:r>
        <w:t>The prayer ends where its central theme began: Jesus has made the Father’s name known and will continue to make it known. A name in biblical usage signifies character, identity, and disclosed presence, not merely a form of address. The future-oriented promise is consistent with Jesus’ continuing work through His resurrection, the Spirit’s ministry, and the disciples’ witness. The goal is that the Father’s love for the Son may be in believers and that Christ Himself may be in them. Revelation is therefore not an end in itself. The knowledge Jesus imparts creates a community indwelt by His presence and shaped by the love that characterizes His relationship with the Father.</w:t>
      </w:r>
    </w:p>
    <w:p>
      <w:pPr>
        <w:pStyle w:val="Heading1"/>
      </w:pPr>
      <w:r>
        <w:t>14. Theological Synthesis: Unity, Witness, and Communion</w:t>
      </w:r>
    </w:p>
    <w:p>
      <w:r>
        <w:t>The closing movement of John 17 binds together themes often treated separately. Apostolic testimony brings people to faith; faith joins them to Christ; communion with Christ grounds their unity; and their unity becomes a public sign pointing toward the Father who sent the Son. The promised future is not simply the survival of a religious institution, but the enjoyment of Christ’s presence and glory. Neither doctrinal fidelity nor practical love may be dismissed as optional. The disciples are consecrated in truth (17:17) and gathered into a fellowship whose character is love (17:23, 26). Jesus’ prayer calls the church to hold both together as gifts and responsibilities arising from His saving work.</w:t>
      </w:r>
    </w:p>
    <w:p>
      <w:pPr>
        <w:pStyle w:val="Heading1"/>
      </w:pPr>
      <w:r>
        <w:t>15. Contemporary Application: A Credible Common Life</w:t>
      </w:r>
    </w:p>
    <w:p>
      <w:r>
        <w:t>The church must resist reducing unity either to denominational mergers or to polite avoidance of disagreements. Christians can pursue substantial cooperation, mutual care, patient dialogue, and shared witness while recognizing that convictions about Scripture and doctrine matter. The prayer challenges communities that proclaim reconciliation while cultivating bitterness, competition, or contempt. It also challenges attempts to manufacture unity through pressure or the suppression of conscience. A credible common life is formed through shared submission to Christ, truth spoken with humility, forgiveness practiced consistently, and practical love that can be seen beyond the walls of the congregation. Such a life does not guarantee the world’s approval, but it accords with Jesus’ expressed purpose.</w:t>
      </w:r>
    </w:p>
    <w:p>
      <w:pPr>
        <w:pStyle w:val="Heading1"/>
      </w:pPr>
      <w:r>
        <w:t>16. Interpretive Cautions and Further Study</w:t>
      </w:r>
    </w:p>
    <w:p>
      <w:r>
        <w:t>Several qualifications protect this passage from misuse. The Father–Son relationship is the model of believers’ unity, not a claim that Christians become divine. The glory given to believers should not be confused with the Son’s unshared eternal identity. Jesus’ desire that the world believe does not establish a promise of universal salvation. The prayer for unity does not settle every question of church organization, nor does it justify sacrificing truth for appearances. Finally, the promise that believers will behold Christ’s glory should be read with the wider New Testament teaching on resurrection and final hope rather than used to construct speculative details about the intermediate state. Read John 17:20–26 alongside John 13:34–35; 15:1–17; Ephesians 4:1–16; and 1 John 4:7–21.</w:t>
      </w:r>
    </w:p>
    <w:p>
      <w:r>
        <w:t>Selected cross-references: John 1:1–18; 3:16–17; 5:19–23; 10:30; 12:23–28; 13:31–35; 14:1–11, 23; 15:1–17; 17:1–19; 19:35; 20:30–31; 21:24; Ephesians 4:1–16; 1 John 4:7–21.</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51"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51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4"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mbria" w:hAnsi="Cambria"/>
      <w:b/>
      <w:bCs/>
      <w:color w:val="1F405B"/>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00"/>
      <w:contextualSpacing/>
    </w:pPr>
    <w:rPr>
      <w:rFonts w:asciiTheme="majorHAnsi" w:eastAsiaTheme="majorEastAsia" w:hAnsiTheme="majorHAnsi" w:cstheme="majorBidi" w:ascii="Cambria" w:hAnsi="Cambria"/>
      <w:b/>
      <w:color w:val="1F405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