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52 — Whom Do You Seek?</w:t>
      </w:r>
    </w:p>
    <w:p>
      <w:r>
        <w:rPr>
          <w:b/>
        </w:rPr>
        <w:t>The Arrest of Jesus and His Sovereign Submission</w:t>
      </w:r>
    </w:p>
    <w:p>
      <w:pPr>
        <w:pStyle w:val="Subtitle"/>
      </w:pPr>
      <w:r>
        <w:t>John 18:1–11  |  New American Standard Bible (1977)</w:t>
      </w:r>
    </w:p>
    <w:p>
      <w:pPr>
        <w:pStyle w:val="Heading1"/>
      </w:pPr>
      <w:r>
        <w:t>1. From Prayer to the Hour of Arrest (18:1)</w:t>
      </w:r>
    </w:p>
    <w:p>
      <w:r>
        <w:t>John moves directly from Jesus’ prayer in chapter 17 to the events of His arrest. The transition is theologically significant: the Son who has spoken of completing the Father’s work now moves toward the suffering through which that work will reach its appointed climax. John does not narrate the agonized prayer in Gethsemane recorded by the Synoptic Gospels, but his silence should not be mistaken for a denial of Jesus’ distress. Earlier he has already reported the troubled soul of Jesus as the hour approached (12:27), and he will soon describe the cup given by the Father (18:11). John’s particular emphasis in this scene is the composure, foreknowledge, and authority of Jesus as He submits to arrest.</w:t>
      </w:r>
    </w:p>
    <w:p>
      <w:pPr>
        <w:pStyle w:val="Heading1"/>
      </w:pPr>
      <w:r>
        <w:t>2. Crossing the Kidron Valley (18:1)</w:t>
      </w:r>
    </w:p>
    <w:p>
      <w:r>
        <w:t>Jesus and His disciples cross the ravine of the Kidron to a garden. The Kidron lies east of Jerusalem, separating the city from the Mount of Olives. John does not name the garden Gethsemane, though the Synoptic accounts identify the place of Jesus’ prayer and arrest by that name or its setting (Matthew 26:36; Mark 14:32). The geographical detail places the event in the recognizable landscape of Jerusalem at Passover. Some readers discern echoes of David crossing the Kidron during Absalom’s rebellion (2 Samuel 15:23), but John does not explicitly draw that comparison. Such a connection may enrich reflection without being presented as the narrator’s established intention.</w:t>
      </w:r>
    </w:p>
    <w:p>
      <w:pPr>
        <w:pStyle w:val="Heading1"/>
      </w:pPr>
      <w:r>
        <w:t>3. The Garden as a Known Meeting Place (18:2)</w:t>
      </w:r>
    </w:p>
    <w:p>
      <w:r>
        <w:t>Judas knows the location because Jesus frequently met there with His disciples. The arrest therefore does not depend upon Judas discovering an obscure hiding place; he identifies a familiar place of fellowship and instruction. John’s detail heightens the moral seriousness of the betrayal. Judas exploits knowledge gained through privileged proximity to Jesus. Yet the narrative never depicts Jesus as caught unaware. The garden is a place He enters deliberately, and His subsequent conduct confirms that the arrest occurs neither through a failure of foresight nor because His enemies have outmaneuvered Him.</w:t>
      </w:r>
    </w:p>
    <w:p>
      <w:pPr>
        <w:pStyle w:val="Heading1"/>
      </w:pPr>
      <w:r>
        <w:t>4. Judas and the Arresting Party (18:3)</w:t>
      </w:r>
    </w:p>
    <w:p>
      <w:r>
        <w:t>Judas arrives with a Roman cohort or detachment, together with officers from the chief priests and Pharisees, carrying lanterns, torches, and weapons. The Greek term speira can designate a Roman military unit, but it does not require that an entire full-strength cohort was present. The precise number of soldiers cannot be established from this verse. John portrays an organized arrest involving authorities associated with Roman power and Jerusalem’s religious establishment. It is important not to turn the conduct of these particular officials into an accusation against the Jewish people as a whole. Jesus, His disciples, and many of His followers were themselves Jewish; the conflict concerns identifiable participants and authorities within a specific historical setting.</w:t>
      </w:r>
    </w:p>
    <w:p>
      <w:pPr>
        <w:pStyle w:val="Heading1"/>
      </w:pPr>
      <w:r>
        <w:t>5. Jesus Goes Forward Knowing All Things (18:4)</w:t>
      </w:r>
    </w:p>
    <w:p>
      <w:r>
        <w:t>John explicitly states that Jesus knew everything coming upon Him and nevertheless stepped forward to confront the party. The language corresponds to the Gospel’s recurring insistence that His hour unfolds under divine purpose rather than blind circumstance (10:17–18; 13:1, 3). This knowledge does not remove the genuine suffering that follows, nor does it make those who arrest Him morally innocent. Instead, the narrative holds together divine sovereignty and human responsibility. Jesus does not merely allow Himself to be found; He takes the initiative by asking the arresting party whom they seek.</w:t>
      </w:r>
    </w:p>
    <w:p>
      <w:pPr>
        <w:pStyle w:val="Heading1"/>
      </w:pPr>
      <w:r>
        <w:t>6. “</w:t>
      </w:r>
      <w:r>
        <w:rPr>
          <w:i w:val="1"/>
        </w:rPr>
        <w:t>Whom Do You Seek?</w:t>
      </w:r>
      <w:r>
        <w:t>” (18:4–5)</w:t>
      </w:r>
    </w:p>
    <w:p>
      <w:r>
        <w:t>Jesus’ question forces the arresting party to identify its object: Jesus the Nazarene. Their answer emphasizes His publicly known identity and distinguishes Him from the disciples gathered around Him. Judas stands with those who have come to seize Jesus, a detail John includes without elaborating on a kiss of betrayal as the Synoptics do. The contrast is stark. The former companion has taken his place among the arresting force, while Jesus stands openly before them. John’s account is selective rather than necessarily contradictory: each evangelist shapes the presentation of the same broad event according to his narrative emphasis.</w:t>
      </w:r>
    </w:p>
    <w:p>
      <w:pPr>
        <w:pStyle w:val="Heading1"/>
      </w:pPr>
      <w:r>
        <w:t>7. “</w:t>
      </w:r>
      <w:r>
        <w:rPr>
          <w:i w:val="1"/>
        </w:rPr>
        <w:t>I Am He</w:t>
      </w:r>
      <w:r>
        <w:t>”: The Weight of Jesus’ Answer (18:5–6)</w:t>
      </w:r>
    </w:p>
    <w:p>
      <w:r>
        <w:t>Jesus replies with the Greek words egō eimi, rendered in context as “</w:t>
      </w:r>
      <w:r>
        <w:rPr>
          <w:i w:val="1"/>
        </w:rPr>
        <w:t>I am He.</w:t>
      </w:r>
      <w:r>
        <w:t>” Grammatically, the expression can serve as an ordinary identification, and the immediate question supplies the implied predicate. Yet within John’s Gospel the same expression also carries resonances of Jesus’ identity and His relationship to the Father (8:24, 28, 58). The interpreter should neither flatten the phrase into an entirely unremarkable answer nor claim that its grammatical form alone proves an explicit quotation of the divine name. The narrative effect is unmistakable: at Jesus’ words, those confronting Him draw back and fall to the ground. John portrays authority belonging to the one who is about to be arrested.</w:t>
      </w:r>
    </w:p>
    <w:p>
      <w:pPr>
        <w:pStyle w:val="Heading1"/>
      </w:pPr>
      <w:r>
        <w:t>8. The Arresting Party Falls Backward (18:6)</w:t>
      </w:r>
    </w:p>
    <w:p>
      <w:r>
        <w:t>The withdrawal and fall of the arresting party are unique to John’s narration of this event. The text does not specify whether the men are struck by supernatural force, overwhelmed by the revelation of Jesus’ authority, or responding in some other manner; explanations that assign a precise physical mechanism go beyond the passage. What John makes plain is the reversal of apparent power. Armed men arrive to take Jesus, yet His simple response interrupts their advance. The episode underscores that the arrest does not occur because Jesus lacks the power to resist. He will surrender willingly, and that willing surrender is essential to the theological meaning of His passion.</w:t>
      </w:r>
    </w:p>
    <w:p>
      <w:pPr>
        <w:pStyle w:val="Heading1"/>
      </w:pPr>
      <w:r>
        <w:t>9. A Second Question and a Deliberate Surrender (18:7–8)</w:t>
      </w:r>
    </w:p>
    <w:p>
      <w:r>
        <w:t>Jesus repeats His question, receives the same answer, and directs the arresting party to let His disciples go. The repetition makes His intention clear: the authorities seek Him, and He identifies Himself as the one to be taken. His concern for the disciples appears even as His own suffering approaches. John does not present their release as a negotiation secured by superior numbers or force. It is Jesus who speaks on their behalf. His conduct accords with the Good Shepherd discourse, in which the shepherd lays down His life for the sheep (10:11, 15), although the disciples’ immediate physical safety must not be equated without qualification with the entirety of their eternal salvation.</w:t>
      </w:r>
    </w:p>
    <w:p>
      <w:pPr>
        <w:pStyle w:val="Heading1"/>
      </w:pPr>
      <w:r>
        <w:t>10. “</w:t>
      </w:r>
      <w:r>
        <w:rPr>
          <w:i w:val="1"/>
        </w:rPr>
        <w:t>Of Those Whom You Have Given Me I Lost Not One</w:t>
      </w:r>
      <w:r>
        <w:t>” (18:9)</w:t>
      </w:r>
    </w:p>
    <w:p>
      <w:r>
        <w:t>John connects Jesus’ protection of the disciples with His earlier declaration concerning those entrusted to Him by the Father (17:12; compare 6:39). The quotation is best understood as the narrator’s theological interpretation of the event, not as an assertion that physical escape from arrest exhausts the promise of spiritual preservation. The disciples will later suffer persecution, and some will die for their testimony. In this immediate moment, however, Jesus shields them from being seized with Him. The episode gives a concrete expression to His faithful care while pointing beyond itself to the larger promise that His mission will not fail to preserve those given to Him.</w:t>
      </w:r>
    </w:p>
    <w:p>
      <w:pPr>
        <w:pStyle w:val="Heading1"/>
      </w:pPr>
      <w:r>
        <w:t>11. Peter Draws the Sword (18:10)</w:t>
      </w:r>
    </w:p>
    <w:p>
      <w:r>
        <w:t>Simon Peter draws a sword and strikes the high priest’s servant, cutting off his right ear. John alone names Peter and identifies the servant as Malchus. The detail brings a personal specificity to an action also described in the Synoptic accounts. Peter’s response is courageous in one sense, but profoundly mistaken in another. He attempts to defend Jesus by the use of violence at the very moment when Jesus is willingly embracing the Father’s appointed path. The contrast also recalls Peter’s earlier promise to lay down his life for Jesus (13:37), a promise that will soon be tested by fear and denial. Zeal for Christ does not automatically imply understanding of Christ’s mission.</w:t>
      </w:r>
    </w:p>
    <w:p>
      <w:pPr>
        <w:pStyle w:val="Heading1"/>
      </w:pPr>
      <w:r>
        <w:t>12. Malchus and the Limits of the Narrative (18:10)</w:t>
      </w:r>
    </w:p>
    <w:p>
      <w:r>
        <w:t>John gives the wounded servant’s name but does not narrate his healing; Luke 22:51 reports that Jesus touched the ear and healed him. Reading the Gospel accounts together may clarify the wider event, provided we distinguish what each author explicitly says. The identification of the right ear is precise, yet John offers no explanation for its symbolism, and none should be invented. The narrative’s primary purpose is not to reconstruct the mechanics of Peter’s blow but to reveal the inadequacy of armed resistance in the face of Jesus’ chosen obedience. Even those who sincerely wish to defend the Lord can misunderstand the means by which His kingdom comes.</w:t>
      </w:r>
    </w:p>
    <w:p>
      <w:pPr>
        <w:pStyle w:val="Heading1"/>
      </w:pPr>
      <w:r>
        <w:t>13. “</w:t>
      </w:r>
      <w:r>
        <w:rPr>
          <w:i w:val="1"/>
        </w:rPr>
        <w:t>Put the Sword into the Sheath</w:t>
      </w:r>
      <w:r>
        <w:t>” (18:11)</w:t>
      </w:r>
    </w:p>
    <w:p>
      <w:r>
        <w:t>Jesus commands Peter to put away his sword. The command is immediate and personal, addressing the violent action before Him. It should not be stretched into a complete political theory concerning every possible use of force, nor should it be weakened into a merely tactical observation that Peter is outnumbered. Within this passage the issue is decisive: Jesus will not allow the Father’s saving purpose to be obstructed by a disciple’s attempt to prevent His arrest. The Messiah will not establish His reign by escaping the cross through armed defense. His authority is revealed precisely in the freedom with which He accepts the path before Him.</w:t>
      </w:r>
    </w:p>
    <w:p>
      <w:pPr>
        <w:pStyle w:val="Heading1"/>
      </w:pPr>
      <w:r>
        <w:t>14. The Cup the Father Has Given (18:11)</w:t>
      </w:r>
    </w:p>
    <w:p>
      <w:r>
        <w:t>Jesus asks whether He should not drink the cup given Him by the Father. In biblical imagery, a cup can signify an allotted experience, often divine judgment or suffering (Psalm 75:8; Isaiah 51:17; Jeremiah 25:15). The Synoptic prayers in Gethsemane similarly associate the cup with Jesus’ approaching ordeal (Mark 14:36). John’s wording stresses that the passion belongs to the Father’s purpose, yet it must not be taken to imply that betrayal, injustice, and violence thereby become morally good. Jesus’ willing obedience and the culpability of His persecutors remain distinct truths. The cup leads through suffering and death toward the glorification anticipated throughout the farewell discourse.</w:t>
      </w:r>
    </w:p>
    <w:p>
      <w:pPr>
        <w:pStyle w:val="Heading1"/>
      </w:pPr>
      <w:r>
        <w:t>15. Theological Synthesis: Sovereignty Expressed in Submission</w:t>
      </w:r>
    </w:p>
    <w:p>
      <w:r>
        <w:t>John’s arrest narrative refuses to separate the majesty of Jesus from His willingness to suffer. He knows what is coming, approaches His enemies, speaks with authority, protects His disciples, and restrains Peter. Nothing in the scene suggests a helpless victim overtaken by circumstances. Yet the same narrative insists that Jesus is genuinely arrested and will undergo real suffering. His sovereignty is not a denial of His humanity; His submission is not a surrender of His identity. The Good Shepherd lays down His life voluntarily, fulfilling the Father’s purpose while exposing the inadequacy of both coercive religious power and misguided efforts to defend the kingdom through violence.</w:t>
      </w:r>
    </w:p>
    <w:p>
      <w:pPr>
        <w:pStyle w:val="Heading1"/>
      </w:pPr>
      <w:r>
        <w:t>16. Contemporary Application and Interpretive Cautions</w:t>
      </w:r>
    </w:p>
    <w:p>
      <w:r>
        <w:t>Disciples today can recognize in Peter the temptation to confuse devotion with impulsive action and in Judas the danger of proximity to sacred things without faithfulness to Christ. Jesus’ conduct offers another pattern: clear knowledge of His calling, concern for others, and obedience that does not rely on coercion. Still, the passage should not be used to demand that vulnerable people remain in abusive situations or refuse legitimate protection; Jesus’ unique saving mission is not a universal command to submit to every human threat. Nor should egō eimi be treated as a magical formula, the falling soldiers as proof of a particular physical mechanism, or the Roman cohort as a precise head count. Read this account alongside John 10:11–18; 12:27–33; 13:1–3; 17:6–19; Matthew 26:36–56; Mark 14:32–52; and Luke 22:39–53.</w:t>
      </w:r>
    </w:p>
    <w:p>
      <w:r>
        <w:t>Selected cross-references: 2 Samuel 15:23; Psalm 75:8; Isaiah 51:17; Jeremiah 25:15; John 6:39; 8:24, 28, 58; 10:11–18; 12:27–33; 13:1–3, 37; 17:6–19; Matthew 26:36–56; Mark 14:32–52; Luke 22:39–53.</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51"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52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mbria" w:hAnsi="Cambria"/>
      <w:b/>
      <w:bCs/>
      <w:color w:val="1F405B"/>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Cambria" w:hAnsi="Cambria"/>
      <w:b/>
      <w:color w:val="1F405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