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Study 53 — Before Annas and Caiaphas</w:t>
      </w:r>
    </w:p>
    <w:p>
      <w:r>
        <w:rPr>
          <w:b/>
        </w:rPr>
        <w:t>The Examination of Jesus and Peter’s Denial</w:t>
      </w:r>
    </w:p>
    <w:p>
      <w:pPr>
        <w:pStyle w:val="Subtitle"/>
      </w:pPr>
      <w:r>
        <w:t>John 18:12–27  |  New American Standard Bible (1977)</w:t>
      </w:r>
    </w:p>
    <w:p>
      <w:pPr>
        <w:pStyle w:val="Heading1"/>
      </w:pPr>
      <w:r>
        <w:t>1. Two Scenes Interwoven (18:12–27)</w:t>
      </w:r>
    </w:p>
    <w:p>
      <w:r>
        <w:t>John recounts the detention and questioning of Jesus alongside Peter’s repeated denials. The alternating scenes are not an incidental arrangement: the reader sees Jesus speaking openly under examination while Peter, standing nearby, denies association with Him. The narrative thus contrasts the fidelity of the Master with the vulnerability of the disciple who had promised to follow Him even to death (13:37–38). John does not describe every stage of the Jewish and Roman proceedings, and the interpreter must resist constructing a seamless chronology from details the evangelists do not provide. His selective narration serves the central question of how Jesus faithfully proceeds toward His hour while those closest to Him falter.</w:t>
      </w:r>
    </w:p>
    <w:p>
      <w:pPr>
        <w:pStyle w:val="Heading1"/>
      </w:pPr>
      <w:r>
        <w:t>2. Jesus Is Bound and Led Away (18:12–13)</w:t>
      </w:r>
    </w:p>
    <w:p>
      <w:r>
        <w:t>The Roman detachment, its commander, and the Jewish officers arrest Jesus and bind Him. The binding is striking after the authority displayed in the garden: the One who voluntarily offered Himself now submits to the ordinary restraints of a prisoner. John gives no suggestion that the ropes are necessary to overcome supernatural resistance. They signify the humiliation that Jesus accepts as His passion begins. The officers take Him first to Annas, a figure whose enduring influence helps explain why the narrative begins with him rather than moving immediately to the current high priest. Jesus’ submission should not be confused with approval of every action taken against Him.</w:t>
      </w:r>
    </w:p>
    <w:p>
      <w:pPr>
        <w:pStyle w:val="Heading1"/>
      </w:pPr>
      <w:r>
        <w:t>3. Annas and the High-Priestly Family (18:13)</w:t>
      </w:r>
    </w:p>
    <w:p>
      <w:r>
        <w:t>Annas had served as high priest earlier in the first century, while his son-in-law Caiaphas held the office during Jesus’ arrest. Josephus provides important background for the prominence of this priestly family, whose influence extended beyond a single tenure. John’s reference to Annas as Caiaphas’s father-in-law situates the examination within the political and familial networks of Jerusalem’s priestly leadership. The title “high priest” can also be used with reference to former holders of the office, which helps explain variations in Gospel language. We should distinguish the historical evidence of Annas’s influence from speculative claims about exactly what authority he exercised on this particular night.</w:t>
      </w:r>
    </w:p>
    <w:p>
      <w:pPr>
        <w:pStyle w:val="Heading1"/>
      </w:pPr>
      <w:r>
        <w:t>4. Caiaphas and the Earlier Decision (18:14)</w:t>
      </w:r>
    </w:p>
    <w:p>
      <w:r>
        <w:t>John recalls Caiaphas’s advice that it was expedient for one man to die on behalf of the people (11:49–52). This backward reference connects the present arrest to the council’s earlier fears about Roman intervention and national catastrophe. Caiaphas intended a political calculation; John discerned in his words an unintended testimony to the saving significance of Jesus’ death. The repetition does not absolve the decision-makers of responsibility. Rather, it shows how the evangelist reads human intentions and divine purpose on different levels. The high priest’s reasoning is neither the final explanation of the cross nor a reliable guide to its moral meaning.</w:t>
      </w:r>
    </w:p>
    <w:p>
      <w:pPr>
        <w:pStyle w:val="Heading1"/>
      </w:pPr>
      <w:r>
        <w:t>5. The Other Disciple and the Courtyard (18:15–16)</w:t>
      </w:r>
    </w:p>
    <w:p>
      <w:r>
        <w:t>Peter follows Jesus, as does another disciple who is known to the high priest and therefore gains entry to the courtyard. That disciple speaks to the doorkeeper and brings Peter inside. The unnamed disciple is sometimes identified with the beloved disciple, yet John does not explicitly make that identification here. His access to the priestly household invites questions about personal connections, but the text supplies no biography from which firm conclusions can be drawn. More important is the irony of Peter’s position: his determination to remain near Jesus places him in a setting where loyalty must be confessed rather than merely intended.</w:t>
      </w:r>
    </w:p>
    <w:p>
      <w:pPr>
        <w:pStyle w:val="Heading1"/>
      </w:pPr>
      <w:r>
        <w:t>6. The First Denial at the Door (18:17)</w:t>
      </w:r>
    </w:p>
    <w:p>
      <w:r>
        <w:t>The servant girl guarding the door asks Peter whether he too is one of Jesus’ disciples. The wording anticipates a negative answer, and Peter replies that he is not. His denial is direct, not a cautious evasion. John does not portray the questioner as a powerful official threatening immediate execution; she is a servant at the entrance. This contrast deepens the tragedy of Peter’s failure. The disciple who had drawn a sword before armed men cannot acknowledge his relationship to Jesus when challenged by a doorkeeper. Fear may explain his conduct, but it does not make his answer truthful.</w:t>
      </w:r>
    </w:p>
    <w:p>
      <w:pPr>
        <w:pStyle w:val="Heading1"/>
      </w:pPr>
      <w:r>
        <w:t>7. A Charcoal Fire and the Cold Night (18:18)</w:t>
      </w:r>
    </w:p>
    <w:p>
      <w:r>
        <w:t>Servants and officers stand around a charcoal fire because it is cold, and Peter joins them to warm himself. John’s concrete details give the account a vivid physical setting, but they also place Peter among the very people associated with Jesus’ detention. The Greek word for a charcoal fire, anthrakia, appears again in John 21:9, where the risen Jesus meets Peter by another fire. The recurrence may invite a literary comparison between denial and restoration, though John does not explicitly state that the second fire was designed as a symbolic reversal. The immediate point is Peter’s compromised position as the examination unfolds.</w:t>
      </w:r>
    </w:p>
    <w:p>
      <w:pPr>
        <w:pStyle w:val="Heading1"/>
      </w:pPr>
      <w:r>
        <w:t>8. The High Priest Questions Jesus (18:19)</w:t>
      </w:r>
    </w:p>
    <w:p>
      <w:r>
        <w:t>The high priest questions Jesus about His disciples and teaching. Because John has just described Jesus being brought to Annas and does not report a transfer until verse 24, the most natural reading is that this initial examination occurs before Annas, despite the title used in verse 19. Some readers interpret verse 24 differently or understand the scene as involving Caiaphas; the passage does not resolve every chronological difficulty. The questions concern both Jesus’ following and the content of His public ministry, matters that could be regarded as relevant to religious authority and public order. John’s focus, however, falls on the transparency of Jesus’ response.</w:t>
      </w:r>
    </w:p>
    <w:p>
      <w:pPr>
        <w:pStyle w:val="Heading1"/>
      </w:pPr>
      <w:r>
        <w:t>9. “</w:t>
      </w:r>
      <w:r>
        <w:rPr>
          <w:i w:val="1"/>
        </w:rPr>
        <w:t>I Have Spoken Openly to the World</w:t>
      </w:r>
      <w:r>
        <w:t>” (18:20)</w:t>
      </w:r>
    </w:p>
    <w:p>
      <w:r>
        <w:t>Jesus responds that He has spoken publicly, teaching in synagogues and in the temple where people gathered. His answer does not deny the private instruction He has given His disciples, which John himself records extensively. Rather, Jesus insists that His teaching was not a hidden conspiracy dependent upon secret doctrine. His public message could be evaluated through those who had heard it. In the immediate context, this is a defense of the accessibility of His testimony, not a claim that every word He ever spoke was delivered before a crowd. The Son who reveals the Father does not need deception to advance His mission.</w:t>
      </w:r>
    </w:p>
    <w:p>
      <w:pPr>
        <w:pStyle w:val="Heading1"/>
      </w:pPr>
      <w:r>
        <w:t>10. The Witnesses Should Be Questioned (18:21)</w:t>
      </w:r>
    </w:p>
    <w:p>
      <w:r>
        <w:t>Jesus asks why the authorities question Him rather than those who heard His teaching. The reply exposes the difference between seeking reliable testimony and attempting to elicit a damaging statement from the accused. Biblical legal tradition values corroboration and truthful witnesses (Deuteronomy 19:15–21), although it would be an overstatement to assume that every later rabbinic procedural rule governed this encounter in precisely the same form. Jesus does not refuse accountability; He invites examination of evidence already available. His words model a principled appeal to truth without the theatrical defiance or self-protective dishonesty that so often accompany human conflict.</w:t>
      </w:r>
    </w:p>
    <w:p>
      <w:pPr>
        <w:pStyle w:val="Heading1"/>
      </w:pPr>
      <w:r>
        <w:t>11. An Officer Strikes Jesus (18:22–23)</w:t>
      </w:r>
    </w:p>
    <w:p>
      <w:r>
        <w:t>An officer strikes Jesus and rebukes Him for the way He has answered the high priest. Jesus responds by asking that any wrong statement be demonstrated and, if He has spoken rightly, why He has been struck. His reply is morally significant. He neither retaliates with violence nor pretends that an unjust blow is acceptable. The scene demonstrates that nonretaliation need not mean silence in the face of mistreatment. Jesus calls for a reasoned account of the accusation, placing the burden where it belongs: on those who would condemn His words. His composure is not indifference to justice but fidelity to truth.</w:t>
      </w:r>
    </w:p>
    <w:p>
      <w:pPr>
        <w:pStyle w:val="Heading1"/>
      </w:pPr>
      <w:r>
        <w:t>12. Sent Bound to Caiaphas (18:24)</w:t>
      </w:r>
    </w:p>
    <w:p>
      <w:r>
        <w:t>John reports that Annas sends Jesus, still bound, to Caiaphas the high priest. The placement of this notice after the questioning has led some interpreters to understand it as a retrospective statement, while others read it as the next event in sequence. The Greek verb does not by itself settle every chronological question. Matthew and Mark emphasize a hearing before Caiaphas and the council, while Luke includes additional details about the proceedings. John’s narrative is shorter and concentrates on the examination before Annas and its contrast with Peter’s denials. A careful harmony may compare the accounts, but should acknowledge where the precise sequence remains debated.</w:t>
      </w:r>
    </w:p>
    <w:p>
      <w:pPr>
        <w:pStyle w:val="Heading1"/>
      </w:pPr>
      <w:r>
        <w:t>13. The Second Denial (18:25)</w:t>
      </w:r>
    </w:p>
    <w:p>
      <w:r>
        <w:t>John returns to Peter, still warming himself by the fire. Those standing nearby ask whether he too belongs to Jesus’ disciples, and he again denies it. The recurrence of the same basic question shows how quickly the first denial becomes a pattern. Peter has not abandoned the courtyard, but physical proximity to Jesus is not the same as public faithfulness to Him. The scene also cautions against equating momentary boldness with durable courage. Peter’s earlier declaration of willingness to die for Jesus was sincere, yet sincerity alone did not prepare him for the pressure of an unfolding crisis.</w:t>
      </w:r>
    </w:p>
    <w:p>
      <w:pPr>
        <w:pStyle w:val="Heading1"/>
      </w:pPr>
      <w:r>
        <w:t>14. Recognition and the Third Denial (18:26)</w:t>
      </w:r>
    </w:p>
    <w:p>
      <w:r>
        <w:t>A servant of the high priest, related to Malchus whose ear Peter had cut off, asks whether he saw Peter in the garden. This is a more pointed challenge because it appeals to an identifiable event and a personal connection to the injured servant. Peter denies Jesus again. John then records the crowing of a rooster, bringing Jesus’ prediction in 13:38 to fulfillment. Unlike some Synoptic accounts, John does not narrate Peter’s tears at this moment, though the other Gospels describe his bitter grief. The evangelists’ differences of emphasis should be respected rather than filled in as if John had written every detail himself.</w:t>
      </w:r>
    </w:p>
    <w:p>
      <w:pPr>
        <w:pStyle w:val="Heading1"/>
      </w:pPr>
      <w:r>
        <w:t>15. Theological Synthesis: The Faithful Witness and the Failing Disciple</w:t>
      </w:r>
    </w:p>
    <w:p>
      <w:r>
        <w:t>Jesus and Peter stand under scrutiny in the same night, but their responses diverge. Jesus refuses to distort His teaching, insists on the legitimacy of witness, and bears unjust treatment without surrendering the truth. Peter protects himself through denial, even as his Master moves steadily toward suffering on behalf of His own. The contrast does not suggest that Peter is beyond grace; John’s Gospel will later narrate his restoration (21:15–19). It does show that discipleship cannot rest on confident self-assessment. The saving work of Christ proceeds through His faithfulness, not through the unbroken courage of those who follow Him.</w:t>
      </w:r>
    </w:p>
    <w:p>
      <w:pPr>
        <w:pStyle w:val="Heading1"/>
      </w:pPr>
      <w:r>
        <w:t>16. Contemporary Application and Interpretive Cautions</w:t>
      </w:r>
    </w:p>
    <w:p>
      <w:r>
        <w:t>Peter’s failure warns against trusting declarations of loyalty that have never been tested by ordinary pressures, embarrassment, or fear. Jesus’ response to mistreatment shows that truthful resistance to injustice can coexist with refusal to retaliate. The passage should not be used to condemn all Jewish people for the actions of particular authorities; Jesus, Peter, and the other disciples are themselves Jewish, and the narrative describes a specific conflict within first-century Judea under Roman rule. Nor should uncertain identifications of the unnamed disciple, speculative details of priestly procedure, or harmonized chronologies be presented as established facts. The reader is invited instead to contemplate the Lord’s steadfastness and the disciple’s need for grace.</w:t>
      </w:r>
    </w:p>
    <w:p>
      <w:r>
        <w:t>Selected cross-references: Deuteronomy 19:15–21; Psalm 41:9; John 10:17–18; 11:49–52; 13:36–38; 18:1–11; 21:9, 15–19; Matthew 26:57–75; Mark 14:53–72; Luke 22:54–71.</w:t>
      </w:r>
    </w:p>
    <w:p>
      <w:pPr>
        <w:pStyle w:val="Caption"/>
      </w:pPr>
      <w:r>
        <w:rPr>
          <w:sz w:val="16"/>
        </w:rPr>
        <w:t>Scripture references and brief quotations follow the New American Standard Bible, 1977 edition. Scripture quotations taken from the (NASB®) New American Standard Bible®, Copyright © 1960, 1971, 1977, 1995, 2020 by The Lockman Foundation. Used by permission. All rights reserved. www.Lockman.org</w:t>
      </w:r>
    </w:p>
    <w:sectPr w:rsidR="00FC693F" w:rsidRPr="0006063C" w:rsidSect="00034616">
      <w:footerReference w:type="default" r:id="rId9"/>
      <w:pgSz w:w="12240" w:h="15840"/>
      <w:pgMar w:top="1123" w:right="1325" w:bottom="1051" w:left="1325"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The Gospel According to John  •  Study 53</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6" w:lineRule="auto"/>
    </w:pPr>
    <w:rPr>
      <w:rFonts w:ascii="Cambria" w:hAnsi="Cambria"/>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Cambria" w:hAnsi="Cambria"/>
      <w:b/>
      <w:bCs/>
      <w:color w:val="1F405B"/>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80" w:line="240" w:lineRule="auto" w:before="200"/>
      <w:contextualSpacing/>
    </w:pPr>
    <w:rPr>
      <w:rFonts w:asciiTheme="majorHAnsi" w:eastAsiaTheme="majorEastAsia" w:hAnsiTheme="majorHAnsi" w:cstheme="majorBidi" w:ascii="Cambria" w:hAnsi="Cambria"/>
      <w:b/>
      <w:color w:val="1F405B"/>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