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Study 59 — Rabboni!</w:t>
      </w:r>
    </w:p>
    <w:p>
      <w:pPr>
        <w:pStyle w:val="Subtitle"/>
      </w:pPr>
      <w:r>
        <w:t>Mary Magdalene Encounters the Risen Christ  |  John 20:11–18  |  NASB 1977</w:t>
      </w:r>
    </w:p>
    <w:p>
      <w:r>
        <w:t>Interpretive principle: Respect the words. Understand their world. Establish what the text meant there. Then ask how its truth speaks here.</w:t>
      </w:r>
    </w:p>
    <w:p>
      <w:pPr>
        <w:pStyle w:val="Heading1"/>
      </w:pPr>
      <w:r>
        <w:t>1. The Movement from Evidence to Encounter</w:t>
      </w:r>
    </w:p>
    <w:p>
      <w:r>
        <w:t>John 20:1–10 records the empty tomb and the disciples’ investigation; verses 11–18 now portray an encounter with the living Jesus. The transition matters. An empty tomb, taken by itself, does not tell Mary what happened to the body. Her first explanation was removal, not resurrection (20:2). John does not present faith as a careless leap from absence to certainty. Instead, the narrative moves through grief, observation, recognition, and testimony. The beloved disciple’s response in verse 8 and Mary’s experience in verses 11–18 should be read together without assuming that they arrived at precisely the same understanding at the same moment. John allows the reader to observe how the reality of resurrection breaks into the disciples’ previous expectations.</w:t>
      </w:r>
    </w:p>
    <w:p>
      <w:pPr>
        <w:pStyle w:val="Heading1"/>
      </w:pPr>
      <w:r>
        <w:t>2. Mary Remains at the Tomb</w:t>
      </w:r>
    </w:p>
    <w:p>
      <w:r>
        <w:t>Mary stands outside the tomb weeping after Peter and the beloved disciple have departed. Her persistence reveals the depth of her attachment to Jesus, but it also underscores how little she yet understands. Her tears are not evidence of weak devotion; they are the understandable response of a disciple who has watched her Lord die and now believes His body has disappeared. The narrative offers no warrant for portraying Mary as spiritually inferior because she weeps. Indeed, the risen Jesus will meet her in the very place of her sorrow. John’s careful attention to her actions makes her a fully engaged witness, not merely a figure included to provide emotional color.</w:t>
      </w:r>
    </w:p>
    <w:p>
      <w:pPr>
        <w:pStyle w:val="Heading1"/>
      </w:pPr>
      <w:r>
        <w:t>3. Looking into the Burial Place</w:t>
      </w:r>
    </w:p>
    <w:p>
      <w:r>
        <w:t>As Mary stoops to look into the tomb, she sees two angels in white seated where Jesus’ body had lain, one at the head and one at the feet (20:12). Their placement emphasizes the precise location from which the body is missing. Some interpreters see an echo of the cherubim associated with the mercy seat in the tabernacle, but John does not explicitly draw that connection. It may serve as a theological reflection, not as an established identification. The angels are presented as witnesses within the narrative, yet Mary’s concern remains fixed on the absence of Jesus’ body. Extraordinary surroundings do not automatically produce correct understanding; the meaning of what she sees must still be disclosed.</w:t>
      </w:r>
    </w:p>
    <w:p>
      <w:pPr>
        <w:pStyle w:val="Heading1"/>
      </w:pPr>
      <w:r>
        <w:t>4. “</w:t>
      </w:r>
      <w:r>
        <w:rPr>
          <w:i w:val="1"/>
        </w:rPr>
        <w:t>Woman, Why Are You Weeping?</w:t>
      </w:r>
      <w:r>
        <w:t>”</w:t>
      </w:r>
    </w:p>
    <w:p>
      <w:r>
        <w:t>The angels’ question does not dismiss Mary’s grief. It invites her to explain the assumption that governs her response: “</w:t>
      </w:r>
      <w:r>
        <w:rPr>
          <w:i w:val="1"/>
        </w:rPr>
        <w:t>Because they have taken away my Lord, and I do not know where they have laid Him</w:t>
      </w:r>
      <w:r>
        <w:t>” (20:13). The possessive expression “my Lord” conveys personal devotion, while her explanation shows that she still interprets the empty tomb in terms of human action. John preserves both realities. Mary loves Jesus and misunderstands the situation. This combination is important for pastoral application: sincere love for Christ does not exempt disciples from incomplete understanding, and grief can narrow what they are prepared to perceive.</w:t>
      </w:r>
    </w:p>
    <w:p>
      <w:pPr>
        <w:pStyle w:val="Heading1"/>
      </w:pPr>
      <w:r>
        <w:t>5. Jesus Is Present but Unrecognized</w:t>
      </w:r>
    </w:p>
    <w:p>
      <w:r>
        <w:t>Mary turns and sees Jesus standing there, but she does not know that it is Jesus (20:14). John gives no single explanation for her failure to recognize Him. Tears, expectation, the conditions of the encounter, or aspects of the risen Lord’s appearance have all been suggested, but the text does not choose among them. We should therefore resist constructing a detailed psychological or physiological account. What John does establish is that the risen Jesus is genuinely present before Mary recognizes Him. The initiative in this encounter belongs to Jesus, and recognition comes through His self-disclosure rather than Mary’s ability to reason her way to the right conclusion.</w:t>
      </w:r>
    </w:p>
    <w:p>
      <w:pPr>
        <w:pStyle w:val="Heading1"/>
      </w:pPr>
      <w:r>
        <w:t>6. The Question of the Gardener</w:t>
      </w:r>
    </w:p>
    <w:p>
      <w:r>
        <w:t>Jesus asks, “</w:t>
      </w:r>
      <w:r>
        <w:rPr>
          <w:i w:val="1"/>
        </w:rPr>
        <w:t>Woman, why are you weeping? Whom are you seeking?</w:t>
      </w:r>
      <w:r>
        <w:t>” (20:15). Supposing Him to be the gardener, Mary asks where the body has been placed. The setting in a garden (19:41) makes her supposition understandable. Readers sometimes discern an intentional allusion to Eden and new creation; that proposal has theological resonance with John’s opening language about creation, but the evangelist does not explicitly interpret Jesus as a new Adam in this scene. A responsible exposition may note the possibility while keeping the narrative’s direct meaning primary: Mary still seeks a dead body even while the living Jesus addresses her.</w:t>
      </w:r>
    </w:p>
    <w:p>
      <w:pPr>
        <w:pStyle w:val="Heading1"/>
      </w:pPr>
      <w:r>
        <w:t>7. The Turning Point: “Mary!”</w:t>
      </w:r>
    </w:p>
    <w:p>
      <w:r>
        <w:t>The decisive moment arrives in one word: Jesus speaks her name. Mary turns and answers in Hebrew or Aramaic, “Rabboni!”—which John explains as “Teacher” (20:16). The verb for turning occurs earlier in the scene as well, suggesting a renewed orientation toward the One she now recognizes. The passage does not say that a distinctive vocal quality alone caused recognition; it presents Jesus’ personal address as the turning point. This moment recalls Jesus’ description of the good shepherd, who calls his own sheep by name and whose sheep know his voice (10:3–4). The connection is particularly fitting within John’s Gospel, although the narrator does not formally quote that earlier teaching here.</w:t>
      </w:r>
    </w:p>
    <w:p>
      <w:pPr>
        <w:pStyle w:val="Heading1"/>
      </w:pPr>
      <w:r>
        <w:t>8. The Significance of “Rabboni”</w:t>
      </w:r>
    </w:p>
    <w:p>
      <w:r>
        <w:t>“Rabboni” is an intensified or respectful form of address associated with a teacher or master. John translates it for readers who may not know the Semitic expression. Mary’s response is immediate and personal: the One she believed lost is standing before her. Yet the title also reflects the relationship she knew during Jesus’ earthly ministry. The remainder of the encounter will show that resurrection does not simply restore the previous arrangement. Jesus is the same Lord, but His movement toward the Father means His disciples must learn to relate to Him in light of His accomplished death, resurrection, and coming exaltation.</w:t>
      </w:r>
    </w:p>
    <w:p>
      <w:pPr>
        <w:pStyle w:val="Heading1"/>
      </w:pPr>
      <w:r>
        <w:rPr/>
        <w:t>9. “</w:t>
      </w:r>
      <w:r>
        <w:rPr>
          <w:i w:val="1"/>
        </w:rPr>
        <w:t>Stop Clinging to Me</w:t>
      </w:r>
      <w:r>
        <w:rPr/>
        <w:t>”: The Greek Expression</w:t>
      </w:r>
    </w:p>
    <w:p>
      <w:r>
        <w:t>Jesus’ instruction in 20:17 is traditionally rendered “</w:t>
      </w:r>
      <w:r>
        <w:rPr>
          <w:i w:val="1"/>
        </w:rPr>
        <w:t>Do not cling to Me</w:t>
      </w:r>
      <w:r>
        <w:t>” or “</w:t>
      </w:r>
      <w:r>
        <w:rPr>
          <w:i w:val="1"/>
        </w:rPr>
        <w:t>Stop clinging to Me.</w:t>
      </w:r>
      <w:r>
        <w:t>” The Greek expression mē mou haptou uses a present imperative with a negative, and it can convey a prohibition against continuing an action, though grammatical form alone does not prove Mary was already holding Him. The verb can mean touch, take hold of, or cling to, depending on context. It is therefore unwise to build an elaborate scene around a physical embrace that John does not narrate explicitly. More importantly, the instruction should not be read as though Jesus’ risen body were untouchable: later in the chapter He invites Thomas to examine His wounds (20:27).</w:t>
      </w:r>
    </w:p>
    <w:p>
      <w:pPr>
        <w:pStyle w:val="Heading1"/>
      </w:pPr>
      <w:r>
        <w:t>10. “</w:t>
      </w:r>
      <w:r>
        <w:rPr>
          <w:i w:val="1"/>
        </w:rPr>
        <w:t>For I Have Not Yet Ascended</w:t>
      </w:r>
      <w:r>
        <w:t>”</w:t>
      </w:r>
    </w:p>
    <w:p>
      <w:r>
        <w:t>Jesus explains His instruction by referring to His not yet having ascended to the Father. This difficult saying has generated several interpretations. The most contextually coherent understands Jesus as redirecting Mary from attempting to retain the familiar form of His earthly presence toward the new reality that His return to the Father will establish. The text does not require the theory that a brief touch would have interrupted a ritual ascent, nor does it support an absolute prohibition of bodily contact before ascension. John’s larger Gospel repeatedly links Jesus’ departure, glorification, and the coming of the Spirit (7:39; 14:16–18; 16:7). The encounter points beyond the immediate reunion.</w:t>
      </w:r>
    </w:p>
    <w:p>
      <w:pPr>
        <w:pStyle w:val="Heading1"/>
      </w:pPr>
      <w:r>
        <w:t>11. The Commission to Go to the Brothers</w:t>
      </w:r>
    </w:p>
    <w:p>
      <w:r>
        <w:t>Rather than allowing Mary to remain at the tomb, Jesus commissions her: “</w:t>
      </w:r>
      <w:r>
        <w:rPr>
          <w:i w:val="1"/>
        </w:rPr>
        <w:t>Go to My brethren and say to them…</w:t>
      </w:r>
      <w:r>
        <w:t>” (20:17). The designation “brethren” is striking after the disciples’ fear, flight, and Peter’s denial. Jesus does not disown them. His words signal a continuing relationship and prepare for the restoration and commissioning that follow in John 20–21. The message is entrusted to Mary, who becomes the bearer of the resurrection announcement to the disciples. The narrative gives her a real and honored role as witness, while questions about later church offices must be addressed from a wider range of texts rather than decided solely from this episode.</w:t>
      </w:r>
    </w:p>
    <w:p>
      <w:pPr>
        <w:pStyle w:val="Heading1"/>
      </w:pPr>
      <w:r>
        <w:t>12. “</w:t>
      </w:r>
      <w:r>
        <w:rPr>
          <w:i w:val="1"/>
        </w:rPr>
        <w:t>My Father and Your Father</w:t>
      </w:r>
      <w:r>
        <w:t>”</w:t>
      </w:r>
    </w:p>
    <w:p>
      <w:r>
        <w:t>Jesus says, “</w:t>
      </w:r>
      <w:r>
        <w:rPr>
          <w:i w:val="1"/>
        </w:rPr>
        <w:t>I ascend to My Father and your Father, and My God and your God</w:t>
      </w:r>
      <w:r>
        <w:t>” (20:17). His wording affirms that the disciples now stand in a genuine relationship to the Father through Him. At the same time, Jesus does not simply say “our Father,” as though His sonship and theirs were identical in every respect. Throughout John, Jesus’ relationship to the Father is unique: He is the Son sent from the Father, who reveals the Father and accomplishes His work (1:18; 5:19–23; 17:1–5). Believers receive filial access by grace through the Son, not by possessing His unique divine identity. The distinction protects both the glory of Christ and the extraordinary privilege granted to His followers.</w:t>
      </w:r>
    </w:p>
    <w:p>
      <w:pPr>
        <w:pStyle w:val="Heading1"/>
      </w:pPr>
      <w:r>
        <w:rPr/>
        <w:t>13. “</w:t>
      </w:r>
      <w:r>
        <w:rPr>
          <w:i w:val="1"/>
        </w:rPr>
        <w:t>My God and Your God</w:t>
      </w:r>
      <w:r>
        <w:rPr/>
        <w:t>”</w:t>
      </w:r>
    </w:p>
    <w:p>
      <w:r>
        <w:t>The risen Jesus’ reference to “My God” must be interpreted within John’s full Christological presentation. John begins by identifying the Word as God (1:1), records Jesus’ unique unity with the Father (10:30), and will soon present Thomas addressing the risen Jesus as “</w:t>
      </w:r>
      <w:r>
        <w:rPr>
          <w:i w:val="1"/>
        </w:rPr>
        <w:t>My Lord and my God</w:t>
      </w:r>
      <w:r>
        <w:t>” (20:28). The phrase in verse 17 does not erase those affirmations. It belongs to the incarnate Son’s obedient and relational speech concerning the Father, particularly as He completes His earthly mission and returns to Him. A careful reading neither suppresses Jesus’ words nor isolates them from the theological framework John has built throughout the Gospel.</w:t>
      </w:r>
    </w:p>
    <w:p>
      <w:pPr>
        <w:pStyle w:val="Heading1"/>
      </w:pPr>
      <w:r>
        <w:t>14. Ascension in John’s Theological Horizon</w:t>
      </w:r>
    </w:p>
    <w:p>
      <w:r>
        <w:t>John does not provide an ascension scene equivalent to Luke 24:50–53 or Acts 1:9–11, but he repeatedly anticipates Jesus’ return to the Father (13:1, 3; 14:2–3, 28; 16:5, 28). In this encounter, resurrection and ascension are related but not collapsed into one event. Jesus is risen and present, yet He speaks of ascending as a movement still ahead. The announcement therefore links the victory over death with His exaltation and the disciples’ future life in the Spirit. When comparing the Gospels, we should recognize the different narrative emphases without treating silence about a scene as denial that the event occurred.</w:t>
      </w:r>
    </w:p>
    <w:p>
      <w:pPr>
        <w:pStyle w:val="Heading1"/>
      </w:pPr>
      <w:r>
        <w:rPr/>
        <w:t>15. Mary’s Announcement: “</w:t>
      </w:r>
      <w:r>
        <w:rPr>
          <w:i w:val="1"/>
        </w:rPr>
        <w:t>I Have Seen the Lord</w:t>
      </w:r>
      <w:r>
        <w:rPr/>
        <w:t>”</w:t>
      </w:r>
    </w:p>
    <w:p>
      <w:r>
        <w:t>Mary goes to the disciples and announces, “</w:t>
      </w:r>
      <w:r>
        <w:rPr>
          <w:i w:val="1"/>
        </w:rPr>
        <w:t>I have seen the Lord,</w:t>
      </w:r>
      <w:r>
        <w:t>” reporting what Jesus said to her (20:18). Her testimony is not a speculative inference from an empty tomb; it is a claim of personal encounter with the risen Jesus. John places this witness at a crucial turning point in his narrative. The Greek perfect form often discussed in this announcement underscores the enduring significance of what she has seen, although one should not claim that a verb tense by itself proves the resurrection. Her report combines experience and received message: she has seen the Lord, and she communicates His words rather than merely describing her emotions.</w:t>
      </w:r>
    </w:p>
    <w:p>
      <w:pPr>
        <w:pStyle w:val="Heading1"/>
      </w:pPr>
      <w:r>
        <w:t>16. Reading John alongside the Other Gospels</w:t>
      </w:r>
    </w:p>
    <w:p>
      <w:r>
        <w:rPr/>
        <w:t>The Synoptic accounts also place women at the center of the initial resurrection discoveries (Matthew 28:1–10; Mark 16:1–8; Luke 24:1–11). Their differences in selection, order, and detail require careful comparison. John concentrates on Mary Magdalene’s personal encounter, while other accounts describe additional women and angelic announcements. We should not assume that John intends to deny the presence of others simply because he focuses on Mary; her plural statement “</w:t>
      </w:r>
      <w:r>
        <w:rPr>
          <w:i w:val="1"/>
        </w:rPr>
        <w:t>we do not know</w:t>
      </w:r>
      <w:r>
        <w:rPr/>
        <w:t>” in 20:2 is relevant here. Conversely, proposed harmonizations that specify every movement and minute go beyond the evidence. Each evangelist should first be heard on his own terms.</w:t>
      </w:r>
    </w:p>
    <w:p>
      <w:pPr>
        <w:pStyle w:val="Heading1"/>
      </w:pPr>
      <w:r>
        <w:t>17. Theological Synthesis: The Risen Shepherd and His People</w:t>
      </w:r>
    </w:p>
    <w:p>
      <w:r>
        <w:t>Several Johannine themes converge in these verses. Jesus is the shepherd who knows His sheep; He is the Son returning to the Father; He transforms frightened disciples into a community addressed as brothers; and He commissions a witness to announce His resurrection. The passage does not reduce faith to private consolation, even though it begins with an intensely personal encounter. Mary’s recognition leads immediately to testimony. Nor is the resurrection simply the reversal of Jesus’ death, as though ordinary life had resumed unchanged. The risen Lord inaugurates the next stage of His redemptive work and prepares His followers to live in the light of His victory.</w:t>
      </w:r>
    </w:p>
    <w:p>
      <w:pPr>
        <w:pStyle w:val="Heading1"/>
      </w:pPr>
      <w:r>
        <w:t>18. Contemporary Application and Interpretive Restraint</w:t>
      </w:r>
    </w:p>
    <w:p>
      <w:r>
        <w:t>Mary’s experience speaks meaningfully to believers who struggle to recognize God’s purposes amid loss, but application must respect the uniqueness of her encounter. Christians today should not be promised an audible voice or visible appearance simply because Mary received one. The abiding principle is that Jesus takes the initiative to make Himself known, and that knowledge of Him produces faithful witness. Her movement from tears to testimony also cautions against judging grieving believers by the speed with which they regain confidence. The church’s proclamation rests not on the suppression of sorrow but on the apostolic witness that the crucified Lord has risen. The appropriate response is to hear that testimony, trust the Christ it announces, and bear witness to Him with both conviction and humility.</w:t>
      </w:r>
    </w:p>
    <w:p>
      <w:pPr>
        <w:pStyle w:val="Heading1"/>
      </w:pPr>
      <w:r>
        <w:t>Conclusion</w:t>
      </w:r>
    </w:p>
    <w:p>
      <w:r>
        <w:t>Mary came to the tomb seeking the body of the One she loved. She left announcing that she had seen the living Lord. The change came not because she had mastered the evidence, but because Jesus made Himself known and entrusted her with a message. John thus joins the personal reality of resurrection to the public responsibility of witness: the risen Christ calls His people into relationship with the Father and sends them to tell what He has done.</w:t>
      </w:r>
    </w:p>
    <w:p>
      <w:r>
        <w:t>Selected cross-references: John 10:3–4; 13:1–3; 14:16–18; 16:7, 28; 17:1–5; 20:1–10, 19–29; Matthew 28:1–10; Luke 24:1–11; Acts 1:9–11.</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pgSz w:w="12240" w:h="15840"/>
      <w:pgMar w:top="1109" w:right="1325" w:bottom="1037" w:left="132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4"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Cambria" w:hAnsi="Cambria"/>
      <w:b/>
      <w:bCs/>
      <w:color w:val="1D3C5A"/>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80"/>
      <w:contextualSpacing/>
    </w:pPr>
    <w:rPr>
      <w:rFonts w:asciiTheme="majorHAnsi" w:eastAsiaTheme="majorEastAsia" w:hAnsiTheme="majorHAnsi" w:cstheme="majorBidi" w:ascii="Cambria" w:hAnsi="Cambria"/>
      <w:b/>
      <w:color w:val="1D3C5A"/>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