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62 — That You May Believe</w:t>
      </w:r>
    </w:p>
    <w:p>
      <w:pPr>
        <w:pStyle w:val="Subtitle"/>
      </w:pPr>
      <w:r>
        <w:t>The Purpose of John’s Gospel and the Gift of Life in His Name</w:t>
      </w:r>
    </w:p>
    <w:p>
      <w:pPr>
        <w:jc w:val="center"/>
      </w:pPr>
      <w:r>
        <w:t>John 20:30–31  |  New American Standard Bible (1977)</w:t>
      </w:r>
    </w:p>
    <w:p>
      <w:pPr>
        <w:pStyle w:val="Heading1"/>
      </w:pPr>
      <w:r>
        <w:t>1. The Passage at the Threshold of the Gospel’s Conclusion</w:t>
      </w:r>
    </w:p>
    <w:p>
      <w:r>
        <w:t>After recording Thomas’s confession, “</w:t>
      </w:r>
      <w:r>
        <w:rPr>
          <w:i w:val="1"/>
        </w:rPr>
        <w:t>My Lord and my God,</w:t>
      </w:r>
      <w:r>
        <w:t>” John turns from the events he has narrated to the purpose for which he has written. John 20:30–31 functions as a deliberate statement of literary and theological intention. It is not an incidental editorial remark. It invites readers to understand the preceding twenty chapters as a carefully chosen witness to the identity of Jesus and to respond to that witness with faith. Chapter 21 follows as an epilogue, extending the resurrection narrative and addressing the disciples’ continuing mission. The presence of that epilogue does not diminish the force of these verses as a conclusion to the Gospel’s central argument.</w:t>
      </w:r>
    </w:p>
    <w:p>
      <w:pPr>
        <w:pStyle w:val="Heading1"/>
      </w:pPr>
      <w:r>
        <w:t>2. A Gospel That Acknowledges Its Selectivity</w:t>
      </w:r>
    </w:p>
    <w:p>
      <w:r>
        <w:t>John openly acknowledges that Jesus performed many other signs in the presence of His disciples that are not recorded in this book. His admission is important for interpreting the Gospels. The evangelists do not claim to provide exhaustive biographies, nor should readers expect each Gospel to preserve every event in precisely the same sequence or with identical emphases. They select and arrange truthful testimony to communicate the significance of Jesus. John’s later statement that the world itself could not contain the books describing everything Jesus did (21:25) reinforces the abundance of material beyond the written narrative. Selection serves theological clarity without necessarily implying invention or distortion.</w:t>
      </w:r>
    </w:p>
    <w:p>
      <w:pPr>
        <w:pStyle w:val="Heading1"/>
      </w:pPr>
      <w:r>
        <w:t>3. The Meaning of Signs in John</w:t>
      </w:r>
    </w:p>
    <w:p>
      <w:r>
        <w:t>John calls Jesus’ extraordinary works “signs,” using the Greek word sēmeia. A sign points beyond itself to a greater reality; in this Gospel, Jesus’ works reveal His identity and the character of the Father who sent Him. The transformation of water into wine at Cana manifests His glory (2:11), the feeding of the multitude introduces His teaching about the bread of life (6:1–35), and the raising of Lazarus reveals Him as the resurrection and the life (11:25–44). The signs are never intended to be treated merely as spectacles. Their significance lies in the person to whom they direct attention, and John expects readers to discern that meaning.</w:t>
      </w:r>
    </w:p>
    <w:p>
      <w:pPr>
        <w:pStyle w:val="Heading1"/>
      </w:pPr>
      <w:r>
        <w:t>4. The Signs Performed in the Disciples’ Presence</w:t>
      </w:r>
    </w:p>
    <w:p>
      <w:r>
        <w:t>John’s wording places the signs within the sphere of the disciples’ experience, highlighting the Gospel’s relationship to eyewitness testimony. The disciples were not merely recipients of an abstract philosophy; they witnessed events that became the substance of their proclamation. Yet the Gospel does not suggest that every sign was seen by every disciple or that only the Twelve witnessed Jesus’ works. Rather, John locates his written account within the apostolic witness to Jesus. The emphasis accords with the beloved disciple’s testimony in 19:35 and the concluding witness statement in 21:24. The reader is asked to consider testimony grounded in the life and ministry of Jesus.</w:t>
      </w:r>
    </w:p>
    <w:p>
      <w:pPr>
        <w:pStyle w:val="Heading1"/>
      </w:pPr>
      <w:r>
        <w:rPr/>
        <w:t>5. “</w:t>
      </w:r>
      <w:r>
        <w:rPr>
          <w:i w:val="1"/>
        </w:rPr>
        <w:t>These Have Been Written</w:t>
      </w:r>
      <w:r>
        <w:rPr/>
        <w:t>”: The Purpose of the Written Witness</w:t>
      </w:r>
    </w:p>
    <w:p>
      <w:r>
        <w:t>The contrast between the many unwritten signs and “these” written things reveals an intentional act of communication. John has not merely preserved memories for their historical interest, although his narrative makes historical claims. He has written so that the events and words of Jesus may continue to confront people who did not stand beside the Sea of Galilee or enter the empty tomb. Written testimony extends the reach of eyewitness witness beyond its original generation. This also explains the importance of careful reading: the meaning of the signs is disclosed through the narrative and teaching that surround them, not through isolated accounts of miracles.</w:t>
      </w:r>
    </w:p>
    <w:p>
      <w:pPr>
        <w:pStyle w:val="Heading1"/>
      </w:pPr>
      <w:r>
        <w:t>6. The Textual Question: “Believe” or “Continue Believing”?</w:t>
      </w:r>
    </w:p>
    <w:p>
      <w:r>
        <w:t>Manuscripts of John 20:31 preserve two closely related Greek verb forms, commonly represented as pisteusēte and pisteuēte. The former is often associated with coming to believe, while the latter can suggest continuing in belief; however, Greek aspect and context do not permit a rigid division in which one form must address unbelievers and the other established Christians. The variation has prompted discussion about whether John’s primary audience was evangelistic, pastoral, or both. Whichever reading is preferred, the passage unmistakably seeks a living response of faith to Jesus. It is prudent not to build a definitive reconstruction of John’s intended readership on this small variation alone.</w:t>
      </w:r>
    </w:p>
    <w:p>
      <w:pPr>
        <w:pStyle w:val="Heading1"/>
      </w:pPr>
      <w:r>
        <w:t>7. Faith as Response to Revealed Identity</w:t>
      </w:r>
    </w:p>
    <w:p>
      <w:r>
        <w:t>The verb pisteuō, “to believe,” is a major thread running through the Gospel. John presents faith as more than acknowledging that a miracle occurred or agreeing with a set of propositions. It involves receiving the testimony concerning Jesus and entrusting oneself to Him as the one sent by the Father. John 1:12 links receiving Christ and believing in His name; John 3:16 associates belief with eternal life; John 6:35 connects coming to Jesus with believing in Him. Faith is therefore personal and Christ-centered, while remaining inseparable from the truth about who Jesus is. A response that admires Jesus but rejects the identity John proclaims falls short of the Gospel’s stated purpose.</w:t>
      </w:r>
    </w:p>
    <w:p>
      <w:pPr>
        <w:pStyle w:val="Heading1"/>
      </w:pPr>
      <w:r>
        <w:rPr/>
        <w:t>8. “</w:t>
      </w:r>
      <w:r>
        <w:rPr>
          <w:i w:val="1"/>
        </w:rPr>
        <w:t>Jesus Is the Christ</w:t>
      </w:r>
      <w:r>
        <w:rPr/>
        <w:t>”: The Messianic Claim</w:t>
      </w:r>
    </w:p>
    <w:p>
      <w:r>
        <w:t>To confess Jesus as “the Christ” is to identify Him as the Messiah, the Anointed One promised within Israel’s scriptural hope. The title cannot be understood adequately without the Old Testament expectation of God’s saving rule, the Davidic promises, and the varied messianic hopes of Second Temple Judaism. John’s narrative presents Jesus as the fulfillment of those hopes while repeatedly challenging expectations that reduce the Messiah to a political liberator. His kingship is revealed through testimony to the truth and through His willing death (18:36–37; 19:19). John’s purpose is not to detach Jesus from Israel’s story but to show that the story reaches its decisive fulfillment in Him.</w:t>
      </w:r>
    </w:p>
    <w:p>
      <w:pPr>
        <w:pStyle w:val="Heading1"/>
      </w:pPr>
      <w:r>
        <w:rPr/>
        <w:t>9. “</w:t>
      </w:r>
      <w:r>
        <w:rPr>
          <w:i w:val="1"/>
        </w:rPr>
        <w:t>The Son of God</w:t>
      </w:r>
      <w:r>
        <w:rPr/>
        <w:t>”: Identity and Relationship</w:t>
      </w:r>
    </w:p>
    <w:p>
      <w:r>
        <w:rPr/>
        <w:t>The second confession, “</w:t>
      </w:r>
      <w:r>
        <w:rPr>
          <w:i w:val="1"/>
        </w:rPr>
        <w:t>the Son of God,</w:t>
      </w:r>
      <w:r>
        <w:rPr/>
        <w:t>” deepens rather than merely repeats the messianic designation. In Scripture, sonship language can describe Israel, the Davidic king, or a special representative of God, and these backgrounds contribute to John’s presentation. Yet the Fourth Gospel also makes claims about Jesus’ unique relation to the Father that go beyond ordinary royal language. The Word was with God and was God (1:1); the Son reveals the Father (1:18); Jesus speaks of shared divine work and honor (5:19–23). Thomas’s confession in 20:28 stands immediately before the purpose statement, underscoring the extraordinary identity that John invites readers to recognize.</w:t>
      </w:r>
    </w:p>
    <w:p>
      <w:pPr>
        <w:pStyle w:val="Heading1"/>
      </w:pPr>
      <w:r>
        <w:t>10. The Two Titles Belong Together</w:t>
      </w:r>
    </w:p>
    <w:p>
      <w:r>
        <w:t>John does not offer two unrelated alternatives, as though readers might choose between a merely human Messiah and a divine Son. The paired titles form a unified confession of Jesus’ identity. His messianic work cannot be separated from the relationship with the Father that gives that work its meaning, and His divine identity is not presented as an abstraction detached from His historical mission. The Word became flesh, dwelt among us, and revealed divine glory in human life (1:14). The Gospel thus calls for belief in the particular Jesus whose ministry, death, and resurrection John has narrated, rather than in an undefined religious ideal.</w:t>
      </w:r>
    </w:p>
    <w:p>
      <w:pPr>
        <w:pStyle w:val="Heading1"/>
      </w:pPr>
      <w:r>
        <w:rPr/>
        <w:t>11. “</w:t>
      </w:r>
      <w:r>
        <w:rPr>
          <w:i w:val="1"/>
        </w:rPr>
        <w:t>Life in His Name</w:t>
      </w:r>
      <w:r>
        <w:rPr/>
        <w:t>”: The Promised Result</w:t>
      </w:r>
    </w:p>
    <w:p>
      <w:r>
        <w:t>The purpose clause reaches its goal in the promise that believers may have life in Jesus’ name. In John, life is not simply prolonged physical existence. It is the life of the age to come, received through the Son and grounded in knowing the only true God and Jesus Christ whom He sent (17:3). Jesus describes Himself as the giver of living water, the bread of life, and the resurrection and the life. These images illuminate different dimensions of the same reality: through Christ, people enter into a restored relationship with God. The phrase “in His name” points to Jesus’ revealed person and authority, not to a formula that produces life by verbal repetition.</w:t>
      </w:r>
    </w:p>
    <w:p>
      <w:pPr>
        <w:pStyle w:val="Heading1"/>
      </w:pPr>
      <w:r>
        <w:t>12. Present Possession and Future Resurrection</w:t>
      </w:r>
    </w:p>
    <w:p>
      <w:r>
        <w:rPr/>
        <w:t>John can speak of eternal life as a present possession: the believer “</w:t>
      </w:r>
      <w:r>
        <w:rPr>
          <w:i w:val="1"/>
        </w:rPr>
        <w:t>has eternal life</w:t>
      </w:r>
      <w:r>
        <w:rPr/>
        <w:t>” and has passed out of death into life (5:24). Yet this present gift does not exhaust the future hope. Jesus also promises to raise His people on the last day (6:39–40). John therefore holds together present participation in divine life and the future bodily resurrection. The resurrection of Jesus in chapter 20 gives the promise its decisive foundation. Christian hope is neither merely the survival of the soul nor simply an improved earthly existence; it is life with God inaugurated now and brought to completion through the risen Christ.</w:t>
      </w:r>
    </w:p>
    <w:p>
      <w:pPr>
        <w:pStyle w:val="Heading1"/>
      </w:pPr>
      <w:r>
        <w:t>13. Signs, Testimony, and the Responsibility of the Reader</w:t>
      </w:r>
    </w:p>
    <w:p>
      <w:r>
        <w:t>The signs do not compel belief mechanically. John has already shown that people may witness extraordinary works and respond with hostility or misunderstanding (12:37). The same evidence can be approached with openness, fear, self-interest, or resistance. John therefore places testimony before readers while treating their response as morally and spiritually significant. His account offers reasons for faith, but it does not reduce faith to a laboratory conclusion. The signs call for interpretation in light of Jesus’ words and the Scriptures. Believing is not the suspension of thought; it is the fitting response to the revelation of God in Christ.</w:t>
      </w:r>
    </w:p>
    <w:p>
      <w:pPr>
        <w:pStyle w:val="Heading1"/>
      </w:pPr>
      <w:r>
        <w:t>14. The Gospel’s Opening and Its Intended Ending</w:t>
      </w:r>
    </w:p>
    <w:p>
      <w:r>
        <w:t>John’s purpose statement draws the reader back to the prologue. The Word who was with God and was God became flesh so that those who received Him might become children of God (1:1–14). Throughout the narrative, some recognize His glory while others remain in darkness. At the climax, Thomas confesses the risen Jesus as Lord and God, and John turns to the reader with an invitation to believe without personally seeing the risen Christ (20:29–31). The literary movement is coherent: the Gospel begins by announcing the identity of the Word and reaches its conclusion by calling readers to recognize that identity in Jesus and receive life through Him.</w:t>
      </w:r>
    </w:p>
    <w:p>
      <w:pPr>
        <w:pStyle w:val="Heading1"/>
      </w:pPr>
      <w:r>
        <w:t>15. The Place of John 21 in the Literary Design</w:t>
      </w:r>
    </w:p>
    <w:p>
      <w:r>
        <w:t>Because chapter 20 ends with such an explicit purpose statement, some interpreters have proposed that chapter 21 was added at a later stage. The chapter does function as an epilogue, and its distinctive concluding witness statement has invited legitimate literary discussion. Nevertheless, the existence of a formal conclusion at 20:30–31 does not by itself establish a different author or a late, unauthorized addition. Ancient works could include concluding sections followed by an epilogue. Chapter 21 develops matters left open in the resurrection narrative, particularly Peter’s restoration, the disciples’ mission, and the testimony of the beloved disciple. It should be read as part of the Gospel’s received canonical form.</w:t>
      </w:r>
    </w:p>
    <w:p>
      <w:pPr>
        <w:pStyle w:val="Heading1"/>
      </w:pPr>
      <w:r>
        <w:t>16. Theological Synthesis: Revelation Directed Toward Life</w:t>
      </w:r>
    </w:p>
    <w:p>
      <w:r>
        <w:t>John 20:30–31 joins revelation, faith, and life in one theological movement. God has made Himself known through the incarnate Son; the signs and testimony disclose the Son’s identity; readers are summoned to believe; and through believing they receive life in His name. This sequence protects us from reducing the Gospel either to historical curiosity or to religious sentiment. Its claims concern events that occurred, a person who lived and rose again, and the saving significance of His identity. The written Gospel is a means by which that witness continues to be heard, examined, and received.</w:t>
      </w:r>
    </w:p>
    <w:p>
      <w:pPr>
        <w:pStyle w:val="Heading1"/>
      </w:pPr>
      <w:r>
        <w:t>17. Contemporary Application: Reading for John’s Intended Purpose</w:t>
      </w:r>
    </w:p>
    <w:p>
      <w:r>
        <w:t>The passage challenges readers to ask whether their approach to Scripture matches the evangelist’s intention. It is possible to become absorbed in historical puzzles, textual details, or debates about miracles while overlooking the person to whom the narrative points. Historical and grammatical study remains indispensable, but its proper goal is to establish what John communicates about Jesus. Conversely, personal devotion should not bypass the text’s actual claims in pursuit of impressions detached from Scripture. John invites an intellectually responsible and personally consequential response: understand the witness, recognize Jesus as the Christ and Son of God, and trust Him for life.</w:t>
      </w:r>
    </w:p>
    <w:p>
      <w:pPr>
        <w:pStyle w:val="Heading1"/>
      </w:pPr>
      <w:r>
        <w:t>18. Teaching Implications and Interpretive Cautions</w:t>
      </w:r>
    </w:p>
    <w:p>
      <w:r>
        <w:t>Teachers should avoid claiming that John recorded every important act of Jesus, treating “signs” as self-explanatory wonders, or using the textual variation in verse 31 to prove a single exclusive audience. They should also avoid portraying eternal life as merely an after-death benefit or presenting belief as bare intellectual assent. The passage offers a better integration: selective and reliable testimony, the revealed identity of Jesus, the response of faith, and life received in His name. It is a fitting place to review the Gospel’s major signs and declarations while showing how they converge upon the author’s stated purpose.</w:t>
      </w:r>
    </w:p>
    <w:p>
      <w:pPr>
        <w:pStyle w:val="Heading1"/>
      </w:pPr>
      <w:r>
        <w:t>19. Questions for Reflection and Discussion</w:t>
      </w:r>
    </w:p>
    <w:p>
      <w:r>
        <w:t>How does John’s admission that he selected particular signs affect the way we compare Gospel narratives? In what ways do the titles “Christ” and “Son of God” clarify each other? Why is it important to interpret a sign through Jesus’ teaching rather than treating it as an isolated marvel? What does John mean by life in Jesus’ name, and how does present eternal life relate to the promise of future resurrection? Finally, how should John’s explicit purpose reshape the way we study, teach, and share his Gospel?</w:t>
      </w:r>
    </w:p>
    <w:p>
      <w:pPr>
        <w:pStyle w:val="Heading1"/>
      </w:pPr>
      <w:r>
        <w:t>20. Conclusion: The Witness Has a Purpose</w:t>
      </w:r>
    </w:p>
    <w:p>
      <w:r>
        <w:t>John’s concluding explanation leaves no doubt about what he wants his readers to see. The signs have been written not to satisfy curiosity but to identify Jesus as the promised Messiah and the unique Son of God. The Gospel calls its readers to respond to that revelation with faith, and it holds before them the promise of life in His name. The same invitation that followed Thomas’s confession remains open to those who have not seen Jesus with their own eyes. Through the apostolic witness preserved in Scripture, they may know whom they believe and why His identity matters for their life with God.</w:t>
      </w:r>
    </w:p>
    <w:p>
      <w:pPr>
        <w:pStyle w:val="Heading1"/>
      </w:pPr>
      <w:r>
        <w:t>Selected Scripture Connections</w:t>
      </w:r>
    </w:p>
    <w:p>
      <w:r>
        <w:t>John 1:1–14; 2:11; 3:16–21; 5:24; 6:35–40; 11:25–27; 12:37; 17:3; 19:35; 20:24–29; 21:24–25; Luke 24:44–47; 1 John 5:11–13.</w:t>
      </w:r>
    </w:p>
    <w:p>
      <w:r>
        <w:t>Interpretive principle: Respect the words. Understand their world. Establish what the text meant there. Then ask how its truth speaks here.</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37"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Gospel of John • Study 62</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ascii="Cambria" w:hAnsi="Cambria"/>
      <w:b/>
      <w:bCs/>
      <w:color w:val="1E4064"/>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before="180"/>
      <w:contextualSpacing/>
    </w:pPr>
    <w:rPr>
      <w:rFonts w:asciiTheme="majorHAnsi" w:eastAsiaTheme="majorEastAsia" w:hAnsiTheme="majorHAnsi" w:cstheme="majorBidi" w:ascii="Cambria" w:hAnsi="Cambria"/>
      <w:b/>
      <w:color w:val="1E4064"/>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